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3BFE0" w14:textId="23450017" w:rsidR="006E1E37" w:rsidRDefault="009E0861" w:rsidP="007E6EFC">
      <w:pPr>
        <w:pStyle w:val="Encabezado"/>
        <w:ind w:left="-108" w:right="-250"/>
        <w:jc w:val="both"/>
        <w:rPr>
          <w:rFonts w:ascii="Palatino Linotype" w:hAnsi="Palatino Linotype" w:cs="Tahoma"/>
          <w:b/>
        </w:rPr>
      </w:pPr>
      <w:r w:rsidRPr="006C76CB">
        <w:rPr>
          <w:rFonts w:ascii="Palatino Linotype" w:hAnsi="Palatino Linotype" w:cs="Tahoma"/>
          <w:b/>
        </w:rPr>
        <w:t xml:space="preserve">VOTO PARTICULAR QUE FORMULA EL COMISIONADO LUIS GUSTAVO PARRA NORIEGA, </w:t>
      </w:r>
      <w:r w:rsidR="007B0FBC">
        <w:rPr>
          <w:rFonts w:ascii="Palatino Linotype" w:hAnsi="Palatino Linotype" w:cs="Tahoma"/>
          <w:b/>
        </w:rPr>
        <w:t>A</w:t>
      </w:r>
      <w:r w:rsidRPr="006C76CB">
        <w:rPr>
          <w:rFonts w:ascii="Palatino Linotype" w:hAnsi="Palatino Linotype" w:cs="Tahoma"/>
          <w:b/>
        </w:rPr>
        <w:t xml:space="preserve"> LA RESO</w:t>
      </w:r>
      <w:r w:rsidR="00D32C2C" w:rsidRPr="006C76CB">
        <w:rPr>
          <w:rFonts w:ascii="Palatino Linotype" w:hAnsi="Palatino Linotype" w:cs="Tahoma"/>
          <w:b/>
        </w:rPr>
        <w:t xml:space="preserve">LUCIÓN DEL RECURSO DE REVISIÓN </w:t>
      </w:r>
      <w:r w:rsidR="00A568F8" w:rsidRPr="00B9745A">
        <w:rPr>
          <w:rFonts w:ascii="Palatino Linotype" w:hAnsi="Palatino Linotype" w:cs="Tahoma"/>
          <w:b/>
        </w:rPr>
        <w:t>0</w:t>
      </w:r>
      <w:r w:rsidR="007E6EFC">
        <w:rPr>
          <w:rFonts w:ascii="Palatino Linotype" w:hAnsi="Palatino Linotype" w:cs="Tahoma"/>
          <w:b/>
        </w:rPr>
        <w:t>4190</w:t>
      </w:r>
      <w:r w:rsidR="00A568F8">
        <w:rPr>
          <w:rFonts w:ascii="Palatino Linotype" w:hAnsi="Palatino Linotype" w:cs="Tahoma"/>
          <w:b/>
        </w:rPr>
        <w:t>/</w:t>
      </w:r>
      <w:r w:rsidR="00A568F8" w:rsidRPr="00B9745A">
        <w:rPr>
          <w:rFonts w:ascii="Palatino Linotype" w:hAnsi="Palatino Linotype" w:cs="Tahoma"/>
          <w:b/>
        </w:rPr>
        <w:t>INFOEM/IP/RR/2018</w:t>
      </w:r>
      <w:r w:rsidR="007E6EFC">
        <w:rPr>
          <w:rFonts w:ascii="Palatino Linotype" w:hAnsi="Palatino Linotype" w:cs="Tahoma"/>
          <w:b/>
        </w:rPr>
        <w:t xml:space="preserve">, </w:t>
      </w:r>
      <w:r w:rsidRPr="006C76CB">
        <w:rPr>
          <w:rFonts w:ascii="Palatino Linotype" w:hAnsi="Palatino Linotype" w:cs="Tahoma"/>
          <w:b/>
        </w:rPr>
        <w:t xml:space="preserve">PROMOVIDO EN CONTRA </w:t>
      </w:r>
      <w:r w:rsidR="007E6EFC" w:rsidRPr="006C76CB">
        <w:rPr>
          <w:rFonts w:ascii="Palatino Linotype" w:hAnsi="Palatino Linotype" w:cs="Tahoma"/>
          <w:b/>
        </w:rPr>
        <w:t>DE</w:t>
      </w:r>
      <w:r w:rsidR="007E6EFC">
        <w:rPr>
          <w:rFonts w:ascii="Palatino Linotype" w:hAnsi="Palatino Linotype" w:cs="Tahoma"/>
          <w:b/>
        </w:rPr>
        <w:t xml:space="preserve">L </w:t>
      </w:r>
      <w:r w:rsidR="007E6EFC" w:rsidRPr="007E6EFC">
        <w:rPr>
          <w:rFonts w:ascii="Palatino Linotype" w:hAnsi="Palatino Linotype" w:cs="Tahoma"/>
          <w:b/>
        </w:rPr>
        <w:t>SISTEMA PARA EL DESARROLLO INTEGRAL DE LA FAMILIA DEL ESTADO DE MÉXICO</w:t>
      </w:r>
      <w:r w:rsidR="007E6EFC">
        <w:rPr>
          <w:rFonts w:ascii="Palatino Linotype" w:hAnsi="Palatino Linotype" w:cs="Tahoma"/>
          <w:b/>
        </w:rPr>
        <w:t>.</w:t>
      </w:r>
    </w:p>
    <w:p w14:paraId="5586F59F" w14:textId="77777777" w:rsidR="007E6EFC" w:rsidRPr="006C76CB" w:rsidRDefault="007E6EFC" w:rsidP="007E6EFC">
      <w:pPr>
        <w:pStyle w:val="Encabezado"/>
        <w:ind w:left="-108" w:right="-250"/>
        <w:jc w:val="both"/>
        <w:rPr>
          <w:rFonts w:ascii="Palatino Linotype" w:hAnsi="Palatino Linotype" w:cs="Tahoma"/>
        </w:rPr>
      </w:pPr>
    </w:p>
    <w:p w14:paraId="7AF4E18B" w14:textId="44F42A2F" w:rsidR="009E0861" w:rsidRPr="006C76CB" w:rsidRDefault="009E0861" w:rsidP="006C76CB">
      <w:pPr>
        <w:spacing w:after="0" w:line="360" w:lineRule="auto"/>
        <w:jc w:val="both"/>
        <w:rPr>
          <w:rFonts w:ascii="Palatino Linotype" w:hAnsi="Palatino Linotype" w:cs="Tahoma"/>
        </w:rPr>
      </w:pPr>
      <w:r w:rsidRPr="006C76C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C76CB">
        <w:rPr>
          <w:rFonts w:ascii="Palatino Linotype" w:hAnsi="Palatino Linotype" w:cs="Tahoma"/>
          <w:b/>
        </w:rPr>
        <w:t>Voto Particular</w:t>
      </w:r>
      <w:r w:rsidRPr="006C76CB">
        <w:rPr>
          <w:rFonts w:ascii="Palatino Linotype" w:hAnsi="Palatino Linotype" w:cs="Tahoma"/>
        </w:rPr>
        <w:t xml:space="preserve"> por no compartir en su totalidad las consideraciones que sustentan la</w:t>
      </w:r>
      <w:r w:rsidR="005B1BC6">
        <w:rPr>
          <w:rFonts w:ascii="Palatino Linotype" w:hAnsi="Palatino Linotype" w:cs="Tahoma"/>
        </w:rPr>
        <w:t xml:space="preserve"> Resolución de los</w:t>
      </w:r>
      <w:r w:rsidRPr="006C76CB">
        <w:rPr>
          <w:rFonts w:ascii="Palatino Linotype" w:hAnsi="Palatino Linotype" w:cs="Tahoma"/>
        </w:rPr>
        <w:t xml:space="preserve"> Recurso</w:t>
      </w:r>
      <w:r w:rsidR="005B1BC6">
        <w:rPr>
          <w:rFonts w:ascii="Palatino Linotype" w:hAnsi="Palatino Linotype" w:cs="Tahoma"/>
        </w:rPr>
        <w:t>s</w:t>
      </w:r>
      <w:r w:rsidRPr="006C76CB">
        <w:rPr>
          <w:rFonts w:ascii="Palatino Linotype" w:hAnsi="Palatino Linotype" w:cs="Tahoma"/>
        </w:rPr>
        <w:t xml:space="preserve"> de Revisión </w:t>
      </w:r>
      <w:r w:rsidR="00D50D8F" w:rsidRPr="006C76CB">
        <w:rPr>
          <w:rFonts w:ascii="Palatino Linotype" w:hAnsi="Palatino Linotype" w:cs="Tahoma"/>
        </w:rPr>
        <w:t>0</w:t>
      </w:r>
      <w:r w:rsidR="007E6EFC">
        <w:rPr>
          <w:rFonts w:ascii="Palatino Linotype" w:hAnsi="Palatino Linotype" w:cs="Tahoma"/>
        </w:rPr>
        <w:t>4190</w:t>
      </w:r>
      <w:r w:rsidR="00D50D8F" w:rsidRPr="006C76CB">
        <w:rPr>
          <w:rFonts w:ascii="Palatino Linotype" w:hAnsi="Palatino Linotype" w:cs="Tahoma"/>
        </w:rPr>
        <w:t>/INFOEM/IP/RR/2018</w:t>
      </w:r>
      <w:r w:rsidR="00A568F8">
        <w:rPr>
          <w:rFonts w:ascii="Palatino Linotype" w:hAnsi="Palatino Linotype" w:cs="Tahoma"/>
        </w:rPr>
        <w:t xml:space="preserve">. </w:t>
      </w:r>
    </w:p>
    <w:p w14:paraId="1F7D845D" w14:textId="77777777" w:rsidR="009E0861" w:rsidRPr="006C76CB" w:rsidRDefault="009E0861" w:rsidP="006C76CB">
      <w:pPr>
        <w:spacing w:after="0" w:line="360" w:lineRule="auto"/>
        <w:jc w:val="both"/>
        <w:rPr>
          <w:rFonts w:ascii="Palatino Linotype" w:hAnsi="Palatino Linotype" w:cs="Tahoma"/>
        </w:rPr>
      </w:pPr>
    </w:p>
    <w:p w14:paraId="2D4BA8CC" w14:textId="5622C82D" w:rsidR="0056593F" w:rsidRDefault="00EA7E26" w:rsidP="00882ADE">
      <w:pPr>
        <w:spacing w:after="0" w:line="360" w:lineRule="auto"/>
        <w:jc w:val="both"/>
        <w:rPr>
          <w:rFonts w:ascii="Palatino Linotype" w:hAnsi="Palatino Linotype" w:cs="Tahoma"/>
        </w:rPr>
      </w:pPr>
      <w:r w:rsidRPr="006C76CB">
        <w:rPr>
          <w:rFonts w:ascii="Palatino Linotype" w:hAnsi="Palatino Linotype" w:cs="Tahoma"/>
        </w:rPr>
        <w:t>C</w:t>
      </w:r>
      <w:r w:rsidR="009E0861" w:rsidRPr="006C76CB">
        <w:rPr>
          <w:rFonts w:ascii="Palatino Linotype" w:hAnsi="Palatino Linotype" w:cs="Tahoma"/>
        </w:rPr>
        <w:t xml:space="preserve">omo se desprende de la </w:t>
      </w:r>
      <w:r w:rsidR="007B0FBC">
        <w:rPr>
          <w:rFonts w:ascii="Palatino Linotype" w:hAnsi="Palatino Linotype" w:cs="Tahoma"/>
        </w:rPr>
        <w:t>R</w:t>
      </w:r>
      <w:r w:rsidR="009E0861" w:rsidRPr="006C76CB">
        <w:rPr>
          <w:rFonts w:ascii="Palatino Linotype" w:hAnsi="Palatino Linotype" w:cs="Tahoma"/>
        </w:rPr>
        <w:t xml:space="preserve">esolución </w:t>
      </w:r>
      <w:r w:rsidRPr="006C76CB">
        <w:rPr>
          <w:rFonts w:ascii="Palatino Linotype" w:hAnsi="Palatino Linotype" w:cs="Tahoma"/>
        </w:rPr>
        <w:t>que nos ocupa</w:t>
      </w:r>
      <w:r w:rsidR="009E0861" w:rsidRPr="006C76CB">
        <w:rPr>
          <w:rFonts w:ascii="Palatino Linotype" w:hAnsi="Palatino Linotype" w:cs="Tahoma"/>
        </w:rPr>
        <w:t>, el solicitante</w:t>
      </w:r>
      <w:r w:rsidR="0056593F">
        <w:rPr>
          <w:rFonts w:ascii="Palatino Linotype" w:hAnsi="Palatino Linotype" w:cs="Tahoma"/>
        </w:rPr>
        <w:t xml:space="preserve"> </w:t>
      </w:r>
      <w:r w:rsidR="007E6EFC" w:rsidRPr="007E6EFC">
        <w:rPr>
          <w:rFonts w:ascii="Palatino Linotype" w:hAnsi="Palatino Linotype" w:cs="Tahoma"/>
        </w:rPr>
        <w:t>presentó a través Sistema de Acceso, Rectificación, Cancelación y Oposición de Datos P</w:t>
      </w:r>
      <w:r w:rsidR="007E6EFC">
        <w:rPr>
          <w:rFonts w:ascii="Palatino Linotype" w:hAnsi="Palatino Linotype" w:cs="Tahoma"/>
        </w:rPr>
        <w:t>ersonales del Estado de México (</w:t>
      </w:r>
      <w:r w:rsidR="007E6EFC" w:rsidRPr="007E6EFC">
        <w:rPr>
          <w:rFonts w:ascii="Palatino Linotype" w:hAnsi="Palatino Linotype" w:cs="Tahoma"/>
        </w:rPr>
        <w:t>SARCOEM</w:t>
      </w:r>
      <w:r w:rsidR="007E6EFC">
        <w:rPr>
          <w:rFonts w:ascii="Palatino Linotype" w:hAnsi="Palatino Linotype" w:cs="Tahoma"/>
        </w:rPr>
        <w:t xml:space="preserve">), una solicitud de acceso a datos personales, </w:t>
      </w:r>
      <w:r w:rsidR="007B0FBC">
        <w:rPr>
          <w:rFonts w:ascii="Palatino Linotype" w:hAnsi="Palatino Linotype" w:cs="Tahoma"/>
        </w:rPr>
        <w:t xml:space="preserve">mediante la cual </w:t>
      </w:r>
      <w:r w:rsidR="007E6EFC">
        <w:rPr>
          <w:rFonts w:ascii="Palatino Linotype" w:hAnsi="Palatino Linotype" w:cs="Tahoma"/>
        </w:rPr>
        <w:t>requiri</w:t>
      </w:r>
      <w:r w:rsidR="007B0FBC">
        <w:rPr>
          <w:rFonts w:ascii="Palatino Linotype" w:hAnsi="Palatino Linotype" w:cs="Tahoma"/>
        </w:rPr>
        <w:t>ó</w:t>
      </w:r>
      <w:r w:rsidR="007E6EFC">
        <w:rPr>
          <w:rFonts w:ascii="Palatino Linotype" w:hAnsi="Palatino Linotype" w:cs="Tahoma"/>
        </w:rPr>
        <w:t xml:space="preserve">: </w:t>
      </w:r>
      <w:r w:rsidR="007E6EFC" w:rsidRPr="007E6EFC">
        <w:rPr>
          <w:rFonts w:ascii="Palatino Linotype" w:hAnsi="Palatino Linotype" w:cs="Tahoma"/>
          <w:i/>
        </w:rPr>
        <w:t>copia certificada de todos los documentos que conforman el expediente aperturado con motivo de la denuncia electrónica de número de folio 17270-2017-2625 y pronunciamiento del estado que guarda dicho procedimiento. Así mismo solicito copia del formato único de movimientos de personal (FUMP) de baja a mi nombre, Miriam Vilchis C</w:t>
      </w:r>
      <w:r w:rsidR="007E6EFC">
        <w:rPr>
          <w:rFonts w:ascii="Palatino Linotype" w:hAnsi="Palatino Linotype" w:cs="Tahoma"/>
          <w:i/>
        </w:rPr>
        <w:t>ruz.</w:t>
      </w:r>
    </w:p>
    <w:p w14:paraId="416B7227" w14:textId="77777777" w:rsidR="000823D9" w:rsidRDefault="000823D9" w:rsidP="00882ADE">
      <w:pPr>
        <w:spacing w:after="0" w:line="360" w:lineRule="auto"/>
        <w:jc w:val="both"/>
        <w:rPr>
          <w:rFonts w:ascii="Palatino Linotype" w:hAnsi="Palatino Linotype" w:cs="Tahoma"/>
        </w:rPr>
      </w:pPr>
    </w:p>
    <w:p w14:paraId="52071F4E" w14:textId="6E7D9953" w:rsidR="000823D9" w:rsidRDefault="000823D9" w:rsidP="00882ADE">
      <w:pPr>
        <w:spacing w:after="0" w:line="360" w:lineRule="auto"/>
        <w:jc w:val="both"/>
        <w:rPr>
          <w:rFonts w:ascii="Palatino Linotype" w:hAnsi="Palatino Linotype" w:cs="Tahoma"/>
        </w:rPr>
      </w:pPr>
      <w:r>
        <w:rPr>
          <w:rFonts w:ascii="Palatino Linotype" w:hAnsi="Palatino Linotype" w:cs="Tahoma"/>
        </w:rPr>
        <w:t xml:space="preserve">En respuesta el Sujeto obligado proporcionó en copia simple el </w:t>
      </w:r>
      <w:r w:rsidR="0072753B">
        <w:rPr>
          <w:rFonts w:ascii="Palatino Linotype" w:hAnsi="Palatino Linotype" w:cs="Tahoma"/>
        </w:rPr>
        <w:t>Formato Ú</w:t>
      </w:r>
      <w:r w:rsidRPr="000823D9">
        <w:rPr>
          <w:rFonts w:ascii="Palatino Linotype" w:hAnsi="Palatino Linotype" w:cs="Tahoma"/>
        </w:rPr>
        <w:t>nico de Movimiento de Personal de la Recurrente</w:t>
      </w:r>
      <w:r w:rsidR="0072753B">
        <w:rPr>
          <w:rFonts w:ascii="Palatino Linotype" w:hAnsi="Palatino Linotype" w:cs="Tahoma"/>
        </w:rPr>
        <w:t>,</w:t>
      </w:r>
      <w:r w:rsidRPr="000823D9">
        <w:rPr>
          <w:rFonts w:ascii="Palatino Linotype" w:hAnsi="Palatino Linotype" w:cs="Tahoma"/>
        </w:rPr>
        <w:t xml:space="preserve"> de fecha primero de diciembre de dos mil diecisiete, en dond</w:t>
      </w:r>
      <w:r w:rsidR="0072753B">
        <w:rPr>
          <w:rFonts w:ascii="Palatino Linotype" w:hAnsi="Palatino Linotype" w:cs="Tahoma"/>
        </w:rPr>
        <w:t>e se da de baja al servidor p</w:t>
      </w:r>
      <w:r w:rsidRPr="000823D9">
        <w:rPr>
          <w:rFonts w:ascii="Palatino Linotype" w:hAnsi="Palatino Linotype" w:cs="Tahoma"/>
        </w:rPr>
        <w:t>úblico</w:t>
      </w:r>
      <w:r>
        <w:rPr>
          <w:rFonts w:ascii="Palatino Linotype" w:hAnsi="Palatino Linotype" w:cs="Tahoma"/>
        </w:rPr>
        <w:t>, así como copia simple</w:t>
      </w:r>
      <w:r w:rsidRPr="000823D9">
        <w:rPr>
          <w:rFonts w:ascii="Palatino Linotype" w:hAnsi="Palatino Linotype" w:cs="Tahoma"/>
        </w:rPr>
        <w:t xml:space="preserve"> </w:t>
      </w:r>
      <w:r>
        <w:rPr>
          <w:rFonts w:ascii="Palatino Linotype" w:hAnsi="Palatino Linotype" w:cs="Tahoma"/>
        </w:rPr>
        <w:t>del expediente que a decir del mismo, contiene:</w:t>
      </w:r>
    </w:p>
    <w:p w14:paraId="06A86C5B" w14:textId="77777777" w:rsidR="000823D9" w:rsidRDefault="000823D9" w:rsidP="00882ADE">
      <w:pPr>
        <w:spacing w:after="0" w:line="360" w:lineRule="auto"/>
        <w:jc w:val="both"/>
        <w:rPr>
          <w:rFonts w:ascii="Palatino Linotype" w:hAnsi="Palatino Linotype" w:cs="Tahoma"/>
        </w:rPr>
      </w:pPr>
    </w:p>
    <w:p w14:paraId="5A150FCB" w14:textId="77777777" w:rsidR="000823D9" w:rsidRPr="000823D9" w:rsidRDefault="000823D9" w:rsidP="000823D9">
      <w:pPr>
        <w:spacing w:after="0" w:line="360" w:lineRule="auto"/>
        <w:ind w:left="567" w:right="567"/>
        <w:jc w:val="both"/>
        <w:rPr>
          <w:rFonts w:ascii="Palatino Linotype" w:hAnsi="Palatino Linotype" w:cs="Tahoma"/>
          <w:sz w:val="20"/>
          <w:szCs w:val="20"/>
        </w:rPr>
      </w:pPr>
      <w:r w:rsidRPr="000823D9">
        <w:rPr>
          <w:rFonts w:ascii="Palatino Linotype" w:hAnsi="Palatino Linotype" w:cs="Tahoma"/>
          <w:sz w:val="20"/>
          <w:szCs w:val="20"/>
        </w:rPr>
        <w:lastRenderedPageBreak/>
        <w:t>•</w:t>
      </w:r>
      <w:r w:rsidRPr="000823D9">
        <w:rPr>
          <w:rFonts w:ascii="Palatino Linotype" w:hAnsi="Palatino Linotype" w:cs="Tahoma"/>
          <w:sz w:val="20"/>
          <w:szCs w:val="20"/>
        </w:rPr>
        <w:tab/>
        <w:t>EXPEDIENTE QUEJA 17270-2017-2625.pdf, archivo que contiene 52 fojas, en copia simple, el cual contiene una consulta electrónica del Sistema de Atención Mexiquense en donde se aprecia la queja interpuesta por la Recurrente, El acuerdo en donde se abre el expediente respecto de la queja emitido por el Sistema para el Desarrollo Integral de la Familia del Estado de México, imágenes, Consulta electrónica del seguimiento del trámite de queja, acuerdo de recibo de la queja ante la contraloría del DIFEM, un escrito por parte del Director de servicios jurídicos Asistenciales y dirigido al contralor del DIFEM, una captura de pantalla de una conversación, cinco actas administrativas suscritas por personal del DIFEM, en donde indican que la Recurrente no se ha presentado a trabajar los días: 16, 17, 21, 22 y 23 de noviembre de dos mil diecisiete, notificaciones, acta administrativa de fecha 24 de abril de dos mil dieciocho, cedula profesional, oficios, escritos e imágenes.</w:t>
      </w:r>
    </w:p>
    <w:p w14:paraId="4A9758C0" w14:textId="77777777" w:rsidR="0056593F" w:rsidRDefault="0056593F" w:rsidP="00882ADE">
      <w:pPr>
        <w:spacing w:after="0" w:line="360" w:lineRule="auto"/>
        <w:jc w:val="both"/>
        <w:rPr>
          <w:rFonts w:ascii="Palatino Linotype" w:hAnsi="Palatino Linotype" w:cs="Tahoma"/>
        </w:rPr>
      </w:pPr>
    </w:p>
    <w:p w14:paraId="62E6483F" w14:textId="4403F8B1" w:rsidR="000823D9" w:rsidRDefault="000823D9" w:rsidP="00882ADE">
      <w:pPr>
        <w:spacing w:after="0" w:line="360" w:lineRule="auto"/>
        <w:jc w:val="both"/>
        <w:rPr>
          <w:rFonts w:ascii="Palatino Linotype" w:hAnsi="Palatino Linotype" w:cs="Tahoma"/>
        </w:rPr>
      </w:pPr>
      <w:r>
        <w:rPr>
          <w:rFonts w:ascii="Palatino Linotype" w:hAnsi="Palatino Linotype" w:cs="Tahoma"/>
        </w:rPr>
        <w:t>De acuerdo con lo expuesto, la inconformidad del Recurrente se debió a que la información se proporcionó en copia simple y no certificada como lo solicitó.</w:t>
      </w:r>
    </w:p>
    <w:p w14:paraId="7D0F0371" w14:textId="77777777" w:rsidR="000823D9" w:rsidRPr="000823D9" w:rsidRDefault="000823D9" w:rsidP="00882ADE">
      <w:pPr>
        <w:spacing w:after="0" w:line="360" w:lineRule="auto"/>
        <w:jc w:val="both"/>
        <w:rPr>
          <w:rFonts w:ascii="Palatino Linotype" w:hAnsi="Palatino Linotype" w:cs="Tahoma"/>
        </w:rPr>
      </w:pPr>
    </w:p>
    <w:p w14:paraId="2B3491E5" w14:textId="67CFDBDA" w:rsidR="008E3C3E" w:rsidRPr="007E6EFC" w:rsidRDefault="001E2FC8" w:rsidP="00882ADE">
      <w:pPr>
        <w:spacing w:after="0" w:line="360" w:lineRule="auto"/>
        <w:jc w:val="both"/>
        <w:rPr>
          <w:rFonts w:ascii="Palatino Linotype" w:hAnsi="Palatino Linotype" w:cs="Tahoma"/>
          <w:i/>
        </w:rPr>
      </w:pPr>
      <w:r>
        <w:rPr>
          <w:rFonts w:ascii="Palatino Linotype" w:hAnsi="Palatino Linotype" w:cs="Tahoma"/>
        </w:rPr>
        <w:t xml:space="preserve">Derivado del estudio realizado por la Ponencia Resolutora, </w:t>
      </w:r>
      <w:r w:rsidR="005B1BC6">
        <w:rPr>
          <w:rFonts w:ascii="Palatino Linotype" w:hAnsi="Palatino Linotype" w:cs="Tahoma"/>
        </w:rPr>
        <w:t>e</w:t>
      </w:r>
      <w:r w:rsidR="005B1BC6" w:rsidRPr="006C76CB">
        <w:rPr>
          <w:rFonts w:ascii="Palatino Linotype" w:hAnsi="Palatino Linotype" w:cs="Tahoma"/>
        </w:rPr>
        <w:t xml:space="preserve">n la </w:t>
      </w:r>
      <w:r>
        <w:rPr>
          <w:rFonts w:ascii="Palatino Linotype" w:hAnsi="Palatino Linotype" w:cs="Tahoma"/>
        </w:rPr>
        <w:t>R</w:t>
      </w:r>
      <w:r w:rsidR="005B1BC6" w:rsidRPr="006C76CB">
        <w:rPr>
          <w:rFonts w:ascii="Palatino Linotype" w:hAnsi="Palatino Linotype" w:cs="Tahoma"/>
        </w:rPr>
        <w:t xml:space="preserve">esolución se </w:t>
      </w:r>
      <w:r w:rsidR="000823D9">
        <w:rPr>
          <w:rFonts w:ascii="Palatino Linotype" w:hAnsi="Palatino Linotype" w:cs="Tahoma"/>
        </w:rPr>
        <w:t>determinó</w:t>
      </w:r>
      <w:r>
        <w:rPr>
          <w:rFonts w:ascii="Palatino Linotype" w:hAnsi="Palatino Linotype" w:cs="Tahoma"/>
        </w:rPr>
        <w:t xml:space="preserve"> </w:t>
      </w:r>
      <w:r w:rsidR="007E6EFC">
        <w:rPr>
          <w:rFonts w:ascii="Palatino Linotype" w:hAnsi="Palatino Linotype" w:cs="Tahoma"/>
        </w:rPr>
        <w:t xml:space="preserve">modificar la respuesta </w:t>
      </w:r>
      <w:r w:rsidR="000823D9">
        <w:rPr>
          <w:rFonts w:ascii="Palatino Linotype" w:hAnsi="Palatino Linotype" w:cs="Tahoma"/>
        </w:rPr>
        <w:t xml:space="preserve">del Sujeto Obligado </w:t>
      </w:r>
      <w:r w:rsidR="007E6EFC">
        <w:rPr>
          <w:rFonts w:ascii="Palatino Linotype" w:hAnsi="Palatino Linotype" w:cs="Tahoma"/>
        </w:rPr>
        <w:t>y ordenar la entrega de l</w:t>
      </w:r>
      <w:r w:rsidR="007E6EFC" w:rsidRPr="007E6EFC">
        <w:rPr>
          <w:rFonts w:ascii="Palatino Linotype" w:hAnsi="Palatino Linotype" w:cs="Tahoma"/>
          <w:i/>
        </w:rPr>
        <w:t>a información que se remitió mediante respuesta en copias certificadas, así como el procedimiento para el pago de copias certificadas, indicando el costo total, el lugar y procedimiento para realizar el pago correspondiente y los horarios en los cuales estará a su disposición la información solicitada, previa acreditación de la identidad y personalidad.</w:t>
      </w:r>
    </w:p>
    <w:p w14:paraId="43FF4765" w14:textId="77777777" w:rsidR="00882ADE" w:rsidRPr="00A568F8" w:rsidRDefault="00882ADE" w:rsidP="00882ADE">
      <w:pPr>
        <w:spacing w:after="0" w:line="360" w:lineRule="auto"/>
        <w:jc w:val="both"/>
        <w:rPr>
          <w:rFonts w:ascii="Palatino Linotype" w:hAnsi="Palatino Linotype" w:cs="Tahoma"/>
          <w:i/>
        </w:rPr>
      </w:pPr>
    </w:p>
    <w:p w14:paraId="54BA4EC0" w14:textId="3C4E5CF0" w:rsidR="00B813B2" w:rsidRDefault="00082543" w:rsidP="002E1D18">
      <w:pPr>
        <w:spacing w:after="0" w:line="360" w:lineRule="auto"/>
        <w:jc w:val="both"/>
        <w:rPr>
          <w:rFonts w:ascii="Palatino Linotype" w:hAnsi="Palatino Linotype" w:cs="Arial"/>
          <w:sz w:val="23"/>
          <w:szCs w:val="23"/>
        </w:rPr>
      </w:pPr>
      <w:r w:rsidRPr="00D12EC2">
        <w:rPr>
          <w:rFonts w:ascii="Palatino Linotype" w:hAnsi="Palatino Linotype" w:cs="Arial"/>
          <w:sz w:val="23"/>
          <w:szCs w:val="23"/>
        </w:rPr>
        <w:t>Al respecto</w:t>
      </w:r>
      <w:r>
        <w:rPr>
          <w:rFonts w:ascii="Palatino Linotype" w:hAnsi="Palatino Linotype" w:cs="Arial"/>
          <w:sz w:val="23"/>
          <w:szCs w:val="23"/>
        </w:rPr>
        <w:t>,</w:t>
      </w:r>
      <w:r w:rsidRPr="00D12EC2">
        <w:rPr>
          <w:rFonts w:ascii="Palatino Linotype" w:hAnsi="Palatino Linotype" w:cs="Arial"/>
          <w:sz w:val="23"/>
          <w:szCs w:val="23"/>
        </w:rPr>
        <w:t xml:space="preserve"> es </w:t>
      </w:r>
      <w:r>
        <w:rPr>
          <w:rFonts w:ascii="Palatino Linotype" w:hAnsi="Palatino Linotype" w:cs="Arial"/>
          <w:sz w:val="23"/>
          <w:szCs w:val="23"/>
        </w:rPr>
        <w:t>conveniente</w:t>
      </w:r>
      <w:r w:rsidRPr="00D12EC2">
        <w:rPr>
          <w:rFonts w:ascii="Palatino Linotype" w:hAnsi="Palatino Linotype" w:cs="Arial"/>
          <w:sz w:val="23"/>
          <w:szCs w:val="23"/>
        </w:rPr>
        <w:t xml:space="preserve"> mencionar que</w:t>
      </w:r>
      <w:r w:rsidR="00882ADE">
        <w:rPr>
          <w:rFonts w:ascii="Palatino Linotype" w:hAnsi="Palatino Linotype" w:cs="Arial"/>
          <w:sz w:val="23"/>
          <w:szCs w:val="23"/>
        </w:rPr>
        <w:t>,</w:t>
      </w:r>
      <w:r w:rsidRPr="00D12EC2">
        <w:rPr>
          <w:rFonts w:ascii="Palatino Linotype" w:hAnsi="Palatino Linotype" w:cs="Arial"/>
          <w:sz w:val="23"/>
          <w:szCs w:val="23"/>
        </w:rPr>
        <w:t xml:space="preserve"> </w:t>
      </w:r>
      <w:r>
        <w:rPr>
          <w:rFonts w:ascii="Palatino Linotype" w:hAnsi="Palatino Linotype" w:cs="Arial"/>
          <w:sz w:val="23"/>
          <w:szCs w:val="23"/>
        </w:rPr>
        <w:t>se comparte con</w:t>
      </w:r>
      <w:r w:rsidRPr="00D12EC2">
        <w:rPr>
          <w:rFonts w:ascii="Palatino Linotype" w:hAnsi="Palatino Linotype" w:cs="Arial"/>
          <w:sz w:val="23"/>
          <w:szCs w:val="23"/>
        </w:rPr>
        <w:t xml:space="preserve"> el sentido de la </w:t>
      </w:r>
      <w:r w:rsidR="000823D9">
        <w:rPr>
          <w:rFonts w:ascii="Palatino Linotype" w:hAnsi="Palatino Linotype" w:cs="Arial"/>
          <w:sz w:val="23"/>
          <w:szCs w:val="23"/>
        </w:rPr>
        <w:t>R</w:t>
      </w:r>
      <w:r>
        <w:rPr>
          <w:rFonts w:ascii="Palatino Linotype" w:hAnsi="Palatino Linotype" w:cs="Arial"/>
          <w:sz w:val="23"/>
          <w:szCs w:val="23"/>
        </w:rPr>
        <w:t>esolución, pero no se coincide en</w:t>
      </w:r>
      <w:r w:rsidRPr="00D12EC2">
        <w:rPr>
          <w:rFonts w:ascii="Palatino Linotype" w:hAnsi="Palatino Linotype" w:cs="Arial"/>
          <w:sz w:val="23"/>
          <w:szCs w:val="23"/>
        </w:rPr>
        <w:t xml:space="preserve"> la forma en que </w:t>
      </w:r>
      <w:r w:rsidR="00A568F8">
        <w:rPr>
          <w:rFonts w:ascii="Palatino Linotype" w:hAnsi="Palatino Linotype" w:cs="Arial"/>
          <w:sz w:val="23"/>
          <w:szCs w:val="23"/>
        </w:rPr>
        <w:t xml:space="preserve">se </w:t>
      </w:r>
      <w:r w:rsidR="00882ADE" w:rsidRPr="007E6EFC">
        <w:rPr>
          <w:rFonts w:ascii="Palatino Linotype" w:hAnsi="Palatino Linotype" w:cs="Arial"/>
          <w:sz w:val="23"/>
          <w:szCs w:val="23"/>
        </w:rPr>
        <w:t>realizó</w:t>
      </w:r>
      <w:r w:rsidR="000823D9">
        <w:rPr>
          <w:rFonts w:ascii="Palatino Linotype" w:hAnsi="Palatino Linotype" w:cs="Arial"/>
          <w:sz w:val="23"/>
          <w:szCs w:val="23"/>
        </w:rPr>
        <w:t xml:space="preserve"> el</w:t>
      </w:r>
      <w:r w:rsidR="00A568F8" w:rsidRPr="007E6EFC">
        <w:rPr>
          <w:rFonts w:ascii="Palatino Linotype" w:hAnsi="Palatino Linotype" w:cs="Arial"/>
          <w:sz w:val="23"/>
          <w:szCs w:val="23"/>
        </w:rPr>
        <w:t xml:space="preserve"> </w:t>
      </w:r>
      <w:r w:rsidR="00B813B2">
        <w:rPr>
          <w:rFonts w:ascii="Palatino Linotype" w:hAnsi="Palatino Linotype" w:cs="Arial"/>
          <w:sz w:val="23"/>
          <w:szCs w:val="23"/>
        </w:rPr>
        <w:t xml:space="preserve">análisis, ya que </w:t>
      </w:r>
      <w:r w:rsidR="000823D9">
        <w:rPr>
          <w:rFonts w:ascii="Palatino Linotype" w:hAnsi="Palatino Linotype" w:cs="Arial"/>
          <w:sz w:val="23"/>
          <w:szCs w:val="23"/>
        </w:rPr>
        <w:t xml:space="preserve">desde el principio, el Sujeto Obligado no atendió la modalidad solicitada por el particular, tal como lo establece el artículo 164 de la Ley de Transparencia y Acceso a la Información Pública </w:t>
      </w:r>
      <w:r w:rsidR="000823D9">
        <w:rPr>
          <w:rFonts w:ascii="Palatino Linotype" w:hAnsi="Palatino Linotype" w:cs="Arial"/>
          <w:sz w:val="23"/>
          <w:szCs w:val="23"/>
        </w:rPr>
        <w:lastRenderedPageBreak/>
        <w:t>del Estado de México y Municipios; bajo este orden de ideas,</w:t>
      </w:r>
      <w:r w:rsidR="00B813B2">
        <w:rPr>
          <w:rFonts w:ascii="Palatino Linotype" w:hAnsi="Palatino Linotype" w:cs="Arial"/>
          <w:sz w:val="23"/>
          <w:szCs w:val="23"/>
        </w:rPr>
        <w:t xml:space="preserve"> la Ponencia Resolutora en el análisis, desarrolló los argumentos correspondientes al agravio: la entrega de la información en una  modalidad distinta a la solicitada. </w:t>
      </w:r>
    </w:p>
    <w:p w14:paraId="309B589A" w14:textId="77777777" w:rsidR="00B813B2" w:rsidRDefault="00B813B2" w:rsidP="00882ADE">
      <w:pPr>
        <w:spacing w:after="0" w:line="360" w:lineRule="auto"/>
        <w:jc w:val="both"/>
        <w:rPr>
          <w:rFonts w:ascii="Palatino Linotype" w:hAnsi="Palatino Linotype" w:cs="Arial"/>
          <w:sz w:val="23"/>
          <w:szCs w:val="23"/>
        </w:rPr>
      </w:pPr>
    </w:p>
    <w:p w14:paraId="4ED49C00" w14:textId="64221737" w:rsidR="00B813B2" w:rsidRDefault="000823D9" w:rsidP="00882ADE">
      <w:pPr>
        <w:spacing w:after="0" w:line="360" w:lineRule="auto"/>
        <w:jc w:val="both"/>
        <w:rPr>
          <w:rFonts w:ascii="Palatino Linotype" w:hAnsi="Palatino Linotype" w:cs="Arial"/>
          <w:sz w:val="23"/>
          <w:szCs w:val="23"/>
        </w:rPr>
      </w:pPr>
      <w:r>
        <w:rPr>
          <w:rFonts w:ascii="Palatino Linotype" w:hAnsi="Palatino Linotype" w:cs="Arial"/>
          <w:sz w:val="23"/>
          <w:szCs w:val="23"/>
        </w:rPr>
        <w:t>No obstante lo anterior</w:t>
      </w:r>
      <w:r w:rsidR="00B813B2">
        <w:rPr>
          <w:rFonts w:ascii="Palatino Linotype" w:hAnsi="Palatino Linotype" w:cs="Arial"/>
          <w:sz w:val="23"/>
          <w:szCs w:val="23"/>
        </w:rPr>
        <w:t>, desde mi perspectiva</w:t>
      </w:r>
      <w:r w:rsidR="00B63055">
        <w:rPr>
          <w:rFonts w:ascii="Palatino Linotype" w:hAnsi="Palatino Linotype" w:cs="Arial"/>
          <w:sz w:val="23"/>
          <w:szCs w:val="23"/>
        </w:rPr>
        <w:t xml:space="preserve"> el análisis</w:t>
      </w:r>
      <w:r>
        <w:rPr>
          <w:rFonts w:ascii="Palatino Linotype" w:hAnsi="Palatino Linotype" w:cs="Arial"/>
          <w:sz w:val="23"/>
          <w:szCs w:val="23"/>
        </w:rPr>
        <w:t>, también</w:t>
      </w:r>
      <w:r w:rsidR="00B63055">
        <w:rPr>
          <w:rFonts w:ascii="Palatino Linotype" w:hAnsi="Palatino Linotype" w:cs="Arial"/>
          <w:sz w:val="23"/>
          <w:szCs w:val="23"/>
        </w:rPr>
        <w:t xml:space="preserve"> debió versar </w:t>
      </w:r>
      <w:r w:rsidR="00FC68E1">
        <w:rPr>
          <w:rFonts w:ascii="Palatino Linotype" w:hAnsi="Palatino Linotype" w:cs="Arial"/>
          <w:sz w:val="23"/>
          <w:szCs w:val="23"/>
        </w:rPr>
        <w:t xml:space="preserve">respecto del contenido de la información solicitada; lo anterior, en virtud de que se presentó en la modalidad de </w:t>
      </w:r>
      <w:r w:rsidR="00FC68E1">
        <w:rPr>
          <w:rFonts w:ascii="Palatino Linotype" w:hAnsi="Palatino Linotype" w:cs="Arial"/>
          <w:b/>
          <w:sz w:val="23"/>
          <w:szCs w:val="23"/>
        </w:rPr>
        <w:t xml:space="preserve">acceso a datos personales </w:t>
      </w:r>
      <w:r w:rsidR="00FC68E1">
        <w:rPr>
          <w:rFonts w:ascii="Palatino Linotype" w:hAnsi="Palatino Linotype" w:cs="Arial"/>
          <w:sz w:val="23"/>
          <w:szCs w:val="23"/>
        </w:rPr>
        <w:t xml:space="preserve">derecho establecido en </w:t>
      </w:r>
      <w:r w:rsidR="00B63055">
        <w:rPr>
          <w:rFonts w:ascii="Palatino Linotype" w:hAnsi="Palatino Linotype" w:cs="Arial"/>
          <w:sz w:val="23"/>
          <w:szCs w:val="23"/>
        </w:rPr>
        <w:t xml:space="preserve">la Ley de Protección de Datos Personales en Posesión de Sujetos Obligados del Estado de México y Municipios, </w:t>
      </w:r>
      <w:r w:rsidR="00FC68E1">
        <w:rPr>
          <w:rFonts w:ascii="Palatino Linotype" w:hAnsi="Palatino Linotype" w:cs="Arial"/>
          <w:sz w:val="23"/>
          <w:szCs w:val="23"/>
        </w:rPr>
        <w:t>la cual</w:t>
      </w:r>
      <w:r w:rsidR="00B63055">
        <w:rPr>
          <w:rFonts w:ascii="Palatino Linotype" w:hAnsi="Palatino Linotype" w:cs="Arial"/>
          <w:sz w:val="23"/>
          <w:szCs w:val="23"/>
        </w:rPr>
        <w:t xml:space="preserve"> establece en el artículo</w:t>
      </w:r>
      <w:r w:rsidR="00AF41EA">
        <w:rPr>
          <w:rFonts w:ascii="Palatino Linotype" w:hAnsi="Palatino Linotype" w:cs="Arial"/>
          <w:sz w:val="23"/>
          <w:szCs w:val="23"/>
        </w:rPr>
        <w:t xml:space="preserve"> 98 el D</w:t>
      </w:r>
      <w:r w:rsidR="00B63055">
        <w:rPr>
          <w:rFonts w:ascii="Palatino Linotype" w:hAnsi="Palatino Linotype" w:cs="Arial"/>
          <w:sz w:val="23"/>
          <w:szCs w:val="23"/>
        </w:rPr>
        <w:t>erecho de Acceso, en los siguientes términos:</w:t>
      </w:r>
    </w:p>
    <w:p w14:paraId="753A7B84" w14:textId="77777777" w:rsidR="00B813B2" w:rsidRDefault="00B813B2" w:rsidP="00882ADE">
      <w:pPr>
        <w:spacing w:after="0" w:line="360" w:lineRule="auto"/>
        <w:jc w:val="both"/>
        <w:rPr>
          <w:rFonts w:ascii="Palatino Linotype" w:hAnsi="Palatino Linotype" w:cs="Arial"/>
          <w:sz w:val="23"/>
          <w:szCs w:val="23"/>
        </w:rPr>
      </w:pPr>
    </w:p>
    <w:p w14:paraId="61AA996F" w14:textId="77777777" w:rsidR="00B63055" w:rsidRPr="00B63055" w:rsidRDefault="00B63055" w:rsidP="00B63055">
      <w:pPr>
        <w:spacing w:after="0" w:line="360" w:lineRule="auto"/>
        <w:ind w:left="567" w:right="333"/>
        <w:jc w:val="both"/>
        <w:rPr>
          <w:rFonts w:ascii="Palatino Linotype" w:hAnsi="Palatino Linotype" w:cs="Arial"/>
          <w:b/>
          <w:sz w:val="20"/>
          <w:szCs w:val="20"/>
        </w:rPr>
      </w:pPr>
      <w:r w:rsidRPr="00B63055">
        <w:rPr>
          <w:rFonts w:ascii="Palatino Linotype" w:hAnsi="Palatino Linotype" w:cs="Arial"/>
          <w:b/>
          <w:sz w:val="20"/>
          <w:szCs w:val="20"/>
        </w:rPr>
        <w:t>Derecho de Acceso</w:t>
      </w:r>
    </w:p>
    <w:p w14:paraId="2F91588B" w14:textId="4485D995" w:rsidR="00B63055" w:rsidRPr="00B63055" w:rsidRDefault="00B63055" w:rsidP="00B63055">
      <w:pPr>
        <w:spacing w:after="0" w:line="360" w:lineRule="auto"/>
        <w:ind w:left="567" w:right="333"/>
        <w:jc w:val="both"/>
        <w:rPr>
          <w:rFonts w:ascii="Palatino Linotype" w:hAnsi="Palatino Linotype" w:cs="Arial"/>
          <w:sz w:val="20"/>
          <w:szCs w:val="20"/>
        </w:rPr>
      </w:pPr>
      <w:r w:rsidRPr="00B63055">
        <w:rPr>
          <w:rFonts w:ascii="Palatino Linotype" w:hAnsi="Palatino Linotype" w:cs="Arial"/>
          <w:b/>
          <w:sz w:val="20"/>
          <w:szCs w:val="20"/>
        </w:rPr>
        <w:t>Artículo 98</w:t>
      </w:r>
      <w:r w:rsidRPr="00B63055">
        <w:rPr>
          <w:rFonts w:ascii="Palatino Linotype" w:hAnsi="Palatino Linotype" w:cs="Arial"/>
          <w:sz w:val="20"/>
          <w:szCs w:val="20"/>
        </w:rPr>
        <w:t xml:space="preserve">. </w:t>
      </w:r>
      <w:r w:rsidRPr="00B63055">
        <w:rPr>
          <w:rFonts w:ascii="Palatino Linotype" w:hAnsi="Palatino Linotype" w:cs="Arial"/>
          <w:b/>
          <w:sz w:val="20"/>
          <w:szCs w:val="20"/>
          <w:u w:val="single"/>
        </w:rPr>
        <w:t>El titular tiene derecho a acceder, solicitar y ser informado sobre sus datos personales en posesión de los sujetos obligado</w:t>
      </w:r>
      <w:r w:rsidRPr="00B63055">
        <w:rPr>
          <w:rFonts w:ascii="Palatino Linotype" w:hAnsi="Palatino Linotype" w:cs="Arial"/>
          <w:sz w:val="20"/>
          <w:szCs w:val="20"/>
        </w:rPr>
        <w:t>s, así como la información relacionada con las condiciones y generalidades d</w:t>
      </w:r>
      <w:r>
        <w:rPr>
          <w:rFonts w:ascii="Palatino Linotype" w:hAnsi="Palatino Linotype" w:cs="Arial"/>
          <w:sz w:val="20"/>
          <w:szCs w:val="20"/>
        </w:rPr>
        <w:t xml:space="preserve">e su tratamiento, tales como el </w:t>
      </w:r>
      <w:r w:rsidRPr="00B63055">
        <w:rPr>
          <w:rFonts w:ascii="Palatino Linotype" w:hAnsi="Palatino Linotype" w:cs="Arial"/>
          <w:sz w:val="20"/>
          <w:szCs w:val="20"/>
        </w:rPr>
        <w:t>origen de los datos, las condiciones del tratamiento del cual sean objeto, las cesione</w:t>
      </w:r>
      <w:r>
        <w:rPr>
          <w:rFonts w:ascii="Palatino Linotype" w:hAnsi="Palatino Linotype" w:cs="Arial"/>
          <w:sz w:val="20"/>
          <w:szCs w:val="20"/>
        </w:rPr>
        <w:t xml:space="preserve">s realizadas o que se pretendan </w:t>
      </w:r>
      <w:r w:rsidRPr="00B63055">
        <w:rPr>
          <w:rFonts w:ascii="Palatino Linotype" w:hAnsi="Palatino Linotype" w:cs="Arial"/>
          <w:sz w:val="20"/>
          <w:szCs w:val="20"/>
        </w:rPr>
        <w:t>realizar, así como tener acceso al aviso de privacidad al que está sujeto el tratamiento y a</w:t>
      </w:r>
      <w:r>
        <w:rPr>
          <w:rFonts w:ascii="Palatino Linotype" w:hAnsi="Palatino Linotype" w:cs="Arial"/>
          <w:sz w:val="20"/>
          <w:szCs w:val="20"/>
        </w:rPr>
        <w:t xml:space="preserve"> cualquier otra generalidad del </w:t>
      </w:r>
      <w:r w:rsidRPr="00B63055">
        <w:rPr>
          <w:rFonts w:ascii="Palatino Linotype" w:hAnsi="Palatino Linotype" w:cs="Arial"/>
          <w:sz w:val="20"/>
          <w:szCs w:val="20"/>
        </w:rPr>
        <w:t>tratamiento, en los términos previstos en la Ley.</w:t>
      </w:r>
    </w:p>
    <w:p w14:paraId="18DFCECE" w14:textId="77777777" w:rsidR="00B63055" w:rsidRDefault="00B63055" w:rsidP="00B63055">
      <w:pPr>
        <w:spacing w:after="0" w:line="360" w:lineRule="auto"/>
        <w:ind w:left="567" w:right="333"/>
        <w:jc w:val="both"/>
        <w:rPr>
          <w:rFonts w:ascii="Palatino Linotype" w:hAnsi="Palatino Linotype" w:cs="Arial"/>
          <w:sz w:val="20"/>
          <w:szCs w:val="20"/>
        </w:rPr>
      </w:pPr>
    </w:p>
    <w:p w14:paraId="4C62D986" w14:textId="2A018F36" w:rsidR="00B813B2" w:rsidRDefault="00B63055" w:rsidP="00B63055">
      <w:pPr>
        <w:spacing w:after="0" w:line="360" w:lineRule="auto"/>
        <w:ind w:left="567" w:right="333"/>
        <w:jc w:val="both"/>
        <w:rPr>
          <w:rFonts w:ascii="Palatino Linotype" w:hAnsi="Palatino Linotype" w:cs="Arial"/>
          <w:sz w:val="20"/>
          <w:szCs w:val="20"/>
        </w:rPr>
      </w:pPr>
      <w:r>
        <w:rPr>
          <w:rFonts w:ascii="Palatino Linotype" w:hAnsi="Palatino Linotype" w:cs="Arial"/>
          <w:sz w:val="20"/>
          <w:szCs w:val="20"/>
        </w:rPr>
        <w:t>E</w:t>
      </w:r>
      <w:r w:rsidRPr="00B63055">
        <w:rPr>
          <w:rFonts w:ascii="Palatino Linotype" w:hAnsi="Palatino Linotype" w:cs="Arial"/>
          <w:sz w:val="20"/>
          <w:szCs w:val="20"/>
        </w:rPr>
        <w:t>l responsable debe responder al ejercicio del derecho de acceso, tenga o no datos de carácter personal del interesado en</w:t>
      </w:r>
      <w:r>
        <w:rPr>
          <w:rFonts w:ascii="Palatino Linotype" w:hAnsi="Palatino Linotype" w:cs="Arial"/>
          <w:sz w:val="20"/>
          <w:szCs w:val="20"/>
        </w:rPr>
        <w:t xml:space="preserve"> </w:t>
      </w:r>
      <w:r w:rsidRPr="00B63055">
        <w:rPr>
          <w:rFonts w:ascii="Palatino Linotype" w:hAnsi="Palatino Linotype" w:cs="Arial"/>
          <w:sz w:val="20"/>
          <w:szCs w:val="20"/>
        </w:rPr>
        <w:t>su sistema de dato</w:t>
      </w:r>
      <w:r>
        <w:rPr>
          <w:rFonts w:ascii="Palatino Linotype" w:hAnsi="Palatino Linotype" w:cs="Arial"/>
          <w:sz w:val="20"/>
          <w:szCs w:val="20"/>
        </w:rPr>
        <w:t>s.</w:t>
      </w:r>
    </w:p>
    <w:p w14:paraId="369BCF3A" w14:textId="72BAB3BE" w:rsidR="00B63055" w:rsidRPr="00B63055" w:rsidRDefault="00B63055" w:rsidP="00B63055">
      <w:pPr>
        <w:spacing w:after="0" w:line="360" w:lineRule="auto"/>
        <w:ind w:left="567" w:right="333"/>
        <w:jc w:val="both"/>
        <w:rPr>
          <w:rFonts w:ascii="Palatino Linotype" w:hAnsi="Palatino Linotype" w:cs="Arial"/>
          <w:sz w:val="20"/>
          <w:szCs w:val="20"/>
        </w:rPr>
      </w:pPr>
      <w:r>
        <w:rPr>
          <w:rFonts w:ascii="Palatino Linotype" w:hAnsi="Palatino Linotype" w:cs="Arial"/>
          <w:sz w:val="20"/>
          <w:szCs w:val="20"/>
        </w:rPr>
        <w:t>(Énfasis añadido)</w:t>
      </w:r>
    </w:p>
    <w:p w14:paraId="1EDF299C" w14:textId="77777777" w:rsidR="00882ADE" w:rsidRDefault="00882ADE" w:rsidP="00882ADE">
      <w:pPr>
        <w:tabs>
          <w:tab w:val="left" w:pos="4962"/>
        </w:tabs>
        <w:spacing w:after="0" w:line="360" w:lineRule="auto"/>
        <w:jc w:val="both"/>
        <w:rPr>
          <w:rFonts w:ascii="Palatino Linotype" w:hAnsi="Palatino Linotype" w:cs="Tahoma"/>
        </w:rPr>
      </w:pPr>
    </w:p>
    <w:p w14:paraId="10974FE8" w14:textId="494CC9F5" w:rsidR="005F6261" w:rsidRDefault="00FC68E1" w:rsidP="006C76CB">
      <w:pPr>
        <w:spacing w:after="0" w:line="360" w:lineRule="auto"/>
        <w:jc w:val="both"/>
        <w:rPr>
          <w:rFonts w:ascii="Palatino Linotype" w:hAnsi="Palatino Linotype" w:cs="Tahoma"/>
        </w:rPr>
      </w:pPr>
      <w:r>
        <w:rPr>
          <w:rFonts w:ascii="Palatino Linotype" w:hAnsi="Palatino Linotype" w:cs="Tahoma"/>
        </w:rPr>
        <w:t>De lo anterior</w:t>
      </w:r>
      <w:r w:rsidR="00AF41EA">
        <w:rPr>
          <w:rFonts w:ascii="Palatino Linotype" w:hAnsi="Palatino Linotype" w:cs="Tahoma"/>
        </w:rPr>
        <w:t xml:space="preserve">, se </w:t>
      </w:r>
      <w:r>
        <w:rPr>
          <w:rFonts w:ascii="Palatino Linotype" w:hAnsi="Palatino Linotype" w:cs="Tahoma"/>
        </w:rPr>
        <w:t>desprende</w:t>
      </w:r>
      <w:r w:rsidR="00AF41EA">
        <w:rPr>
          <w:rFonts w:ascii="Palatino Linotype" w:hAnsi="Palatino Linotype" w:cs="Tahoma"/>
        </w:rPr>
        <w:t xml:space="preserve"> que el titular de los datos personales tiene derecho </w:t>
      </w:r>
      <w:r w:rsidR="0072753B">
        <w:rPr>
          <w:rFonts w:ascii="Palatino Linotype" w:hAnsi="Palatino Linotype" w:cs="Tahoma"/>
        </w:rPr>
        <w:t>de</w:t>
      </w:r>
      <w:r w:rsidR="00AF41EA">
        <w:rPr>
          <w:rFonts w:ascii="Palatino Linotype" w:hAnsi="Palatino Linotype" w:cs="Tahoma"/>
        </w:rPr>
        <w:t xml:space="preserve"> acceder a </w:t>
      </w:r>
      <w:r>
        <w:rPr>
          <w:rFonts w:ascii="Palatino Linotype" w:hAnsi="Palatino Linotype" w:cs="Tahoma"/>
        </w:rPr>
        <w:t xml:space="preserve">la información sobre su persona </w:t>
      </w:r>
      <w:r w:rsidR="00AF41EA">
        <w:rPr>
          <w:rFonts w:ascii="Palatino Linotype" w:hAnsi="Palatino Linotype" w:cs="Tahoma"/>
        </w:rPr>
        <w:t>en posesi</w:t>
      </w:r>
      <w:r w:rsidR="00EB204F">
        <w:rPr>
          <w:rFonts w:ascii="Palatino Linotype" w:hAnsi="Palatino Linotype" w:cs="Tahoma"/>
        </w:rPr>
        <w:t xml:space="preserve">ón del </w:t>
      </w:r>
      <w:r>
        <w:rPr>
          <w:rFonts w:ascii="Palatino Linotype" w:hAnsi="Palatino Linotype" w:cs="Tahoma"/>
        </w:rPr>
        <w:t>S</w:t>
      </w:r>
      <w:r w:rsidR="00EB204F">
        <w:rPr>
          <w:rFonts w:ascii="Palatino Linotype" w:hAnsi="Palatino Linotype" w:cs="Tahoma"/>
        </w:rPr>
        <w:t xml:space="preserve">ujeto </w:t>
      </w:r>
      <w:r w:rsidRPr="00FC68E1">
        <w:rPr>
          <w:rFonts w:ascii="Palatino Linotype" w:hAnsi="Palatino Linotype" w:cs="Tahoma"/>
          <w:sz w:val="20"/>
        </w:rPr>
        <w:t>O</w:t>
      </w:r>
      <w:r w:rsidR="00EB204F" w:rsidRPr="00FC68E1">
        <w:rPr>
          <w:rFonts w:ascii="Palatino Linotype" w:hAnsi="Palatino Linotype" w:cs="Tahoma"/>
          <w:sz w:val="20"/>
        </w:rPr>
        <w:t>bligado</w:t>
      </w:r>
      <w:r w:rsidR="00EB204F">
        <w:rPr>
          <w:rFonts w:ascii="Palatino Linotype" w:hAnsi="Palatino Linotype" w:cs="Tahoma"/>
        </w:rPr>
        <w:t xml:space="preserve">; en el caso de </w:t>
      </w:r>
      <w:r w:rsidR="00AF41EA">
        <w:rPr>
          <w:rFonts w:ascii="Palatino Linotype" w:hAnsi="Palatino Linotype" w:cs="Tahoma"/>
        </w:rPr>
        <w:t>la presente resolución,</w:t>
      </w:r>
      <w:r w:rsidR="00EB204F">
        <w:rPr>
          <w:rFonts w:ascii="Palatino Linotype" w:hAnsi="Palatino Linotype" w:cs="Tahoma"/>
        </w:rPr>
        <w:t xml:space="preserve"> </w:t>
      </w:r>
      <w:r w:rsidR="005F6261">
        <w:rPr>
          <w:rFonts w:ascii="Palatino Linotype" w:hAnsi="Palatino Linotype" w:cs="Tahoma"/>
        </w:rPr>
        <w:t xml:space="preserve">era necesario el pronunciamiento en el sentido de que, por esta vía, se debe </w:t>
      </w:r>
      <w:r w:rsidR="005F6261">
        <w:rPr>
          <w:rFonts w:ascii="Palatino Linotype" w:hAnsi="Palatino Linotype" w:cs="Tahoma"/>
        </w:rPr>
        <w:lastRenderedPageBreak/>
        <w:t>garantizar el acceso a los documentos que contengan los datos personales del solicitante, no así del expediente completo; ello quiere decir que las actuaciones que no contienen datos personales del titular no deben ser entregados, así como la información que contenga datos personales de terceros.</w:t>
      </w:r>
    </w:p>
    <w:p w14:paraId="2AE6A46F" w14:textId="77777777" w:rsidR="0058420A" w:rsidRDefault="0058420A" w:rsidP="006C76CB">
      <w:pPr>
        <w:spacing w:after="0" w:line="360" w:lineRule="auto"/>
        <w:jc w:val="both"/>
        <w:rPr>
          <w:rFonts w:ascii="Palatino Linotype" w:hAnsi="Palatino Linotype" w:cs="Tahoma"/>
        </w:rPr>
      </w:pPr>
    </w:p>
    <w:p w14:paraId="6D3F04D9" w14:textId="50FA9B64" w:rsidR="0058420A" w:rsidRDefault="0058420A" w:rsidP="006C76CB">
      <w:pPr>
        <w:spacing w:after="0" w:line="360" w:lineRule="auto"/>
        <w:jc w:val="both"/>
        <w:rPr>
          <w:rFonts w:ascii="Palatino Linotype" w:hAnsi="Palatino Linotype" w:cs="Tahoma"/>
        </w:rPr>
      </w:pPr>
      <w:r>
        <w:rPr>
          <w:rFonts w:ascii="Palatino Linotype" w:hAnsi="Palatino Linotype" w:cs="Tahoma"/>
        </w:rPr>
        <w:t xml:space="preserve">En efecto, la solicitud de acceso a datos personales que nos ocupa, versó sobre el acceso a un expediente </w:t>
      </w:r>
      <w:r>
        <w:rPr>
          <w:rFonts w:ascii="Palatino Linotype" w:hAnsi="Palatino Linotype" w:cs="Tahoma"/>
          <w:u w:val="single"/>
        </w:rPr>
        <w:t>completo de denuncia</w:t>
      </w:r>
      <w:r>
        <w:rPr>
          <w:rFonts w:ascii="Palatino Linotype" w:hAnsi="Palatino Linotype" w:cs="Tahoma"/>
        </w:rPr>
        <w:t>, sin embargo no se tiene la fecha de dicho expediente, así como tampoco el pronunciamiento sobre si el mismo está en trámite o concluido.</w:t>
      </w:r>
    </w:p>
    <w:p w14:paraId="7CA7227A" w14:textId="77777777" w:rsidR="0058420A" w:rsidRDefault="0058420A" w:rsidP="006C76CB">
      <w:pPr>
        <w:spacing w:after="0" w:line="360" w:lineRule="auto"/>
        <w:jc w:val="both"/>
        <w:rPr>
          <w:rFonts w:ascii="Palatino Linotype" w:hAnsi="Palatino Linotype" w:cs="Tahoma"/>
        </w:rPr>
      </w:pPr>
    </w:p>
    <w:p w14:paraId="3CBB1241" w14:textId="34A793B4" w:rsidR="0058420A" w:rsidRDefault="0058420A" w:rsidP="006C76CB">
      <w:pPr>
        <w:spacing w:after="0" w:line="360" w:lineRule="auto"/>
        <w:jc w:val="both"/>
        <w:rPr>
          <w:rFonts w:ascii="Palatino Linotype" w:hAnsi="Palatino Linotype" w:cs="Tahoma"/>
        </w:rPr>
      </w:pPr>
      <w:r>
        <w:rPr>
          <w:rFonts w:ascii="Palatino Linotype" w:hAnsi="Palatino Linotype" w:cs="Tahoma"/>
        </w:rPr>
        <w:t>De acuerdo con lo anterior, conviene señalar que la Ley de Responsabilidades Administrativas del Estado de México y Municipios, publicada en el Periódico Oficial “Gaceta del Gobierno” el treinta de mayo de dos mil diecisiete, dispone sobre los procedimientos de responsabilidades lo siguiente:</w:t>
      </w:r>
    </w:p>
    <w:p w14:paraId="2E58FBE0" w14:textId="77777777" w:rsidR="0058420A" w:rsidRDefault="0058420A" w:rsidP="006C76CB">
      <w:pPr>
        <w:spacing w:after="0" w:line="360" w:lineRule="auto"/>
        <w:jc w:val="both"/>
        <w:rPr>
          <w:rFonts w:ascii="Palatino Linotype" w:hAnsi="Palatino Linotype" w:cs="Tahoma"/>
        </w:rPr>
      </w:pPr>
    </w:p>
    <w:p w14:paraId="498023B4"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LIBRO SEGUNDO</w:t>
      </w:r>
    </w:p>
    <w:p w14:paraId="53E67C71"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DE LAS DISPOSICIONES ADJETIVAS</w:t>
      </w:r>
    </w:p>
    <w:p w14:paraId="4C40E2E7"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TÍTULO PRIMERO</w:t>
      </w:r>
    </w:p>
    <w:p w14:paraId="704D8850"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DE LA INVESTIGACIÓN Y CALIFICACIÓN DE LAS FALTAS GRAVES Y NO GRAVES</w:t>
      </w:r>
    </w:p>
    <w:p w14:paraId="69736171"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CAPÍTULO PRIMERO</w:t>
      </w:r>
    </w:p>
    <w:p w14:paraId="26C37D38" w14:textId="0A6E19F9"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DEL INICIO DE LA INVESTIGACIÓN</w:t>
      </w:r>
    </w:p>
    <w:p w14:paraId="7C435726" w14:textId="7777777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Artículo 95. La investigación por la presunta responsabilidad de faltas administrativas podrá iniciar:</w:t>
      </w:r>
    </w:p>
    <w:p w14:paraId="3E73509B" w14:textId="7777777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I. De oficio.</w:t>
      </w:r>
    </w:p>
    <w:p w14:paraId="68E81143" w14:textId="77777777" w:rsidR="0058420A" w:rsidRPr="0058420A" w:rsidRDefault="0058420A" w:rsidP="0058420A">
      <w:pPr>
        <w:spacing w:after="0" w:line="360" w:lineRule="auto"/>
        <w:ind w:left="567" w:right="567"/>
        <w:jc w:val="both"/>
        <w:rPr>
          <w:rFonts w:ascii="Palatino Linotype" w:hAnsi="Palatino Linotype" w:cs="Tahoma"/>
          <w:b/>
          <w:sz w:val="20"/>
          <w:szCs w:val="20"/>
        </w:rPr>
      </w:pPr>
      <w:r w:rsidRPr="0058420A">
        <w:rPr>
          <w:rFonts w:ascii="Palatino Linotype" w:hAnsi="Palatino Linotype" w:cs="Tahoma"/>
          <w:b/>
          <w:sz w:val="20"/>
          <w:szCs w:val="20"/>
        </w:rPr>
        <w:t>II. Por denuncia.</w:t>
      </w:r>
    </w:p>
    <w:p w14:paraId="3FD2C043" w14:textId="5DB4A5E6"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III. Derivado de las auditorías practicadas por parte de las autoridades competentes o en su caso, de</w:t>
      </w:r>
      <w:r w:rsidRPr="0058420A">
        <w:rPr>
          <w:rFonts w:ascii="Palatino Linotype" w:hAnsi="Palatino Linotype" w:cs="Tahoma"/>
          <w:sz w:val="20"/>
          <w:szCs w:val="20"/>
        </w:rPr>
        <w:t xml:space="preserve"> </w:t>
      </w:r>
      <w:r w:rsidRPr="0058420A">
        <w:rPr>
          <w:rFonts w:ascii="Palatino Linotype" w:hAnsi="Palatino Linotype" w:cs="Tahoma"/>
          <w:sz w:val="20"/>
          <w:szCs w:val="20"/>
        </w:rPr>
        <w:t>auditores externos.</w:t>
      </w:r>
    </w:p>
    <w:p w14:paraId="2E6492FA" w14:textId="7777777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lastRenderedPageBreak/>
        <w:t>Las denuncias podrán ser anónimas. En su caso, las autoridades investigadoras deberán garantizar,</w:t>
      </w:r>
      <w:r w:rsidRPr="0058420A">
        <w:rPr>
          <w:rFonts w:ascii="Palatino Linotype" w:hAnsi="Palatino Linotype" w:cs="Tahoma"/>
          <w:sz w:val="20"/>
          <w:szCs w:val="20"/>
        </w:rPr>
        <w:t xml:space="preserve"> </w:t>
      </w:r>
      <w:r w:rsidRPr="0058420A">
        <w:rPr>
          <w:rFonts w:ascii="Palatino Linotype" w:hAnsi="Palatino Linotype" w:cs="Tahoma"/>
          <w:sz w:val="20"/>
          <w:szCs w:val="20"/>
        </w:rPr>
        <w:t>proteger y mantener el carácter de confidencial la identidad de las personas que denuncien las</w:t>
      </w:r>
      <w:r w:rsidRPr="0058420A">
        <w:rPr>
          <w:rFonts w:ascii="Palatino Linotype" w:hAnsi="Palatino Linotype" w:cs="Tahoma"/>
          <w:sz w:val="20"/>
          <w:szCs w:val="20"/>
        </w:rPr>
        <w:t xml:space="preserve"> </w:t>
      </w:r>
      <w:r w:rsidRPr="0058420A">
        <w:rPr>
          <w:rFonts w:ascii="Palatino Linotype" w:hAnsi="Palatino Linotype" w:cs="Tahoma"/>
          <w:sz w:val="20"/>
          <w:szCs w:val="20"/>
        </w:rPr>
        <w:t>presuntas infracciones.</w:t>
      </w:r>
    </w:p>
    <w:p w14:paraId="39434AEF" w14:textId="77777777" w:rsidR="00B14567" w:rsidRDefault="00B14567" w:rsidP="00B14567">
      <w:pPr>
        <w:spacing w:after="0" w:line="360" w:lineRule="auto"/>
        <w:ind w:left="567" w:right="567"/>
        <w:jc w:val="center"/>
        <w:rPr>
          <w:rFonts w:ascii="Palatino Linotype" w:hAnsi="Palatino Linotype" w:cs="Tahoma"/>
          <w:sz w:val="20"/>
          <w:szCs w:val="20"/>
        </w:rPr>
      </w:pPr>
    </w:p>
    <w:p w14:paraId="36D32A93"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TÍTULO SEGUNDO</w:t>
      </w:r>
    </w:p>
    <w:p w14:paraId="5E15208B"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DEL PROCEDIMIENTO DE RESPONSABILIDAD ADMINISTRATIVA</w:t>
      </w:r>
    </w:p>
    <w:p w14:paraId="6B8E57D9"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CAPÍTULO PRIMERO</w:t>
      </w:r>
    </w:p>
    <w:p w14:paraId="4ECD1A7D"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DE LAS DISPOSICIONES COMUNES AL PROCEDIMIENTO</w:t>
      </w:r>
    </w:p>
    <w:p w14:paraId="0B873FAE" w14:textId="2D7E1496"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DE RESPONSABILIDAD ADMINISTRATIVA</w:t>
      </w:r>
    </w:p>
    <w:p w14:paraId="00686934" w14:textId="77777777" w:rsidR="0058420A" w:rsidRP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DE LOS PRINCIPIOS, INTERRUPCIÓN DE LA PRESCRIPCIÓN,</w:t>
      </w:r>
    </w:p>
    <w:p w14:paraId="4098AA2F" w14:textId="77777777" w:rsidR="0058420A" w:rsidRDefault="0058420A" w:rsidP="00B14567">
      <w:pPr>
        <w:spacing w:after="0" w:line="360" w:lineRule="auto"/>
        <w:ind w:left="567" w:right="567"/>
        <w:jc w:val="center"/>
        <w:rPr>
          <w:rFonts w:ascii="Palatino Linotype" w:hAnsi="Palatino Linotype" w:cs="Tahoma"/>
          <w:sz w:val="20"/>
          <w:szCs w:val="20"/>
        </w:rPr>
      </w:pPr>
      <w:r w:rsidRPr="0058420A">
        <w:rPr>
          <w:rFonts w:ascii="Palatino Linotype" w:hAnsi="Palatino Linotype" w:cs="Tahoma"/>
          <w:sz w:val="20"/>
          <w:szCs w:val="20"/>
        </w:rPr>
        <w:t>PARTES Y AUTORIZACIONES</w:t>
      </w:r>
    </w:p>
    <w:p w14:paraId="21ECA162" w14:textId="77777777" w:rsidR="0072753B" w:rsidRPr="0058420A" w:rsidRDefault="0072753B" w:rsidP="00B14567">
      <w:pPr>
        <w:spacing w:after="0" w:line="360" w:lineRule="auto"/>
        <w:ind w:left="567" w:right="567"/>
        <w:jc w:val="center"/>
        <w:rPr>
          <w:rFonts w:ascii="Palatino Linotype" w:hAnsi="Palatino Linotype" w:cs="Tahoma"/>
          <w:sz w:val="20"/>
          <w:szCs w:val="20"/>
        </w:rPr>
      </w:pPr>
    </w:p>
    <w:p w14:paraId="158C460F" w14:textId="02D36173"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Artículo 115. En los procedimientos de responsabilidad administrativa deberán observarse los</w:t>
      </w:r>
      <w:r w:rsidRPr="0058420A">
        <w:rPr>
          <w:rFonts w:ascii="Palatino Linotype" w:hAnsi="Palatino Linotype" w:cs="Tahoma"/>
          <w:sz w:val="20"/>
          <w:szCs w:val="20"/>
        </w:rPr>
        <w:t xml:space="preserve"> </w:t>
      </w:r>
      <w:r w:rsidRPr="0058420A">
        <w:rPr>
          <w:rFonts w:ascii="Palatino Linotype" w:hAnsi="Palatino Linotype" w:cs="Tahoma"/>
          <w:sz w:val="20"/>
          <w:szCs w:val="20"/>
        </w:rPr>
        <w:t>principios de legalidad</w:t>
      </w:r>
      <w:r w:rsidRPr="00B14567">
        <w:rPr>
          <w:rFonts w:ascii="Palatino Linotype" w:hAnsi="Palatino Linotype" w:cs="Tahoma"/>
          <w:sz w:val="20"/>
          <w:szCs w:val="20"/>
        </w:rPr>
        <w:t xml:space="preserve">, </w:t>
      </w:r>
      <w:r w:rsidRPr="00B14567">
        <w:rPr>
          <w:rFonts w:ascii="Palatino Linotype" w:hAnsi="Palatino Linotype" w:cs="Tahoma"/>
          <w:b/>
          <w:sz w:val="20"/>
          <w:szCs w:val="20"/>
        </w:rPr>
        <w:t>presunción de inocencia,</w:t>
      </w:r>
      <w:r w:rsidRPr="0058420A">
        <w:rPr>
          <w:rFonts w:ascii="Palatino Linotype" w:hAnsi="Palatino Linotype" w:cs="Tahoma"/>
          <w:sz w:val="20"/>
          <w:szCs w:val="20"/>
        </w:rPr>
        <w:t xml:space="preserve"> imparcialidad, objetividad, congruencia,</w:t>
      </w:r>
      <w:r w:rsidRPr="0058420A">
        <w:rPr>
          <w:rFonts w:ascii="Palatino Linotype" w:hAnsi="Palatino Linotype" w:cs="Tahoma"/>
          <w:sz w:val="20"/>
          <w:szCs w:val="20"/>
        </w:rPr>
        <w:t xml:space="preserve"> </w:t>
      </w:r>
      <w:r w:rsidRPr="0058420A">
        <w:rPr>
          <w:rFonts w:ascii="Palatino Linotype" w:hAnsi="Palatino Linotype" w:cs="Tahoma"/>
          <w:sz w:val="20"/>
          <w:szCs w:val="20"/>
        </w:rPr>
        <w:t>exhaustividad, verdad material y respeto a los derechos humanos.</w:t>
      </w:r>
    </w:p>
    <w:p w14:paraId="52C3B6A9" w14:textId="77777777" w:rsidR="00B14567" w:rsidRDefault="00B14567" w:rsidP="0058420A">
      <w:pPr>
        <w:spacing w:after="0" w:line="360" w:lineRule="auto"/>
        <w:ind w:left="567" w:right="567"/>
        <w:jc w:val="both"/>
        <w:rPr>
          <w:rFonts w:ascii="Palatino Linotype" w:hAnsi="Palatino Linotype" w:cs="Tahoma"/>
          <w:sz w:val="20"/>
          <w:szCs w:val="20"/>
        </w:rPr>
      </w:pPr>
    </w:p>
    <w:p w14:paraId="58E89CE7" w14:textId="1321ECC9"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Artículo 116. El procedimiento de responsabilidad administrativa dará inicio cuando las autoridades</w:t>
      </w:r>
      <w:r w:rsidRPr="0058420A">
        <w:rPr>
          <w:rFonts w:ascii="Palatino Linotype" w:hAnsi="Palatino Linotype" w:cs="Tahoma"/>
          <w:sz w:val="20"/>
          <w:szCs w:val="20"/>
        </w:rPr>
        <w:t xml:space="preserve"> </w:t>
      </w:r>
      <w:r w:rsidRPr="0058420A">
        <w:rPr>
          <w:rFonts w:ascii="Palatino Linotype" w:hAnsi="Palatino Linotype" w:cs="Tahoma"/>
          <w:sz w:val="20"/>
          <w:szCs w:val="20"/>
        </w:rPr>
        <w:t>substanciadoras, en el ámbito de su competencia, admitan el informe de presunta responsabilidad</w:t>
      </w:r>
      <w:r w:rsidRPr="0058420A">
        <w:rPr>
          <w:rFonts w:ascii="Palatino Linotype" w:hAnsi="Palatino Linotype" w:cs="Tahoma"/>
          <w:sz w:val="20"/>
          <w:szCs w:val="20"/>
        </w:rPr>
        <w:t xml:space="preserve"> </w:t>
      </w:r>
      <w:r w:rsidRPr="0058420A">
        <w:rPr>
          <w:rFonts w:ascii="Palatino Linotype" w:hAnsi="Palatino Linotype" w:cs="Tahoma"/>
          <w:sz w:val="20"/>
          <w:szCs w:val="20"/>
        </w:rPr>
        <w:t>administrativa.</w:t>
      </w:r>
    </w:p>
    <w:p w14:paraId="79243C27" w14:textId="77777777" w:rsidR="0058420A" w:rsidRPr="0058420A" w:rsidRDefault="0058420A" w:rsidP="0058420A">
      <w:pPr>
        <w:spacing w:after="0" w:line="360" w:lineRule="auto"/>
        <w:ind w:left="567" w:right="567"/>
        <w:jc w:val="both"/>
        <w:rPr>
          <w:rFonts w:ascii="Palatino Linotype" w:hAnsi="Palatino Linotype" w:cs="Tahoma"/>
          <w:sz w:val="20"/>
          <w:szCs w:val="20"/>
        </w:rPr>
      </w:pPr>
    </w:p>
    <w:p w14:paraId="74D9C2BB" w14:textId="77777777" w:rsidR="0058420A" w:rsidRPr="00B14567" w:rsidRDefault="0058420A" w:rsidP="0058420A">
      <w:pPr>
        <w:spacing w:after="0" w:line="360" w:lineRule="auto"/>
        <w:ind w:left="567" w:right="567"/>
        <w:jc w:val="both"/>
        <w:rPr>
          <w:rFonts w:ascii="Palatino Linotype" w:hAnsi="Palatino Linotype" w:cs="Tahoma"/>
          <w:b/>
          <w:sz w:val="20"/>
          <w:szCs w:val="20"/>
        </w:rPr>
      </w:pPr>
      <w:r w:rsidRPr="00B14567">
        <w:rPr>
          <w:rFonts w:ascii="Palatino Linotype" w:hAnsi="Palatino Linotype" w:cs="Tahoma"/>
          <w:b/>
          <w:sz w:val="20"/>
          <w:szCs w:val="20"/>
        </w:rPr>
        <w:t>Artículo 120. Son partes en el procedimiento de responsabilidad administrativa:</w:t>
      </w:r>
    </w:p>
    <w:p w14:paraId="61106516" w14:textId="7777777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I. La autoridad investigadora.</w:t>
      </w:r>
    </w:p>
    <w:p w14:paraId="4D02DF39" w14:textId="7777777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 xml:space="preserve">II. </w:t>
      </w:r>
      <w:r w:rsidRPr="00B14567">
        <w:rPr>
          <w:rFonts w:ascii="Palatino Linotype" w:hAnsi="Palatino Linotype" w:cs="Tahoma"/>
          <w:b/>
          <w:sz w:val="20"/>
          <w:szCs w:val="20"/>
        </w:rPr>
        <w:t>El servidor público señalado como presunto responsable de la falta administrativa grave o no grave.</w:t>
      </w:r>
    </w:p>
    <w:p w14:paraId="1663CEDF" w14:textId="7C3FEAAD" w:rsidR="0058420A" w:rsidRPr="00B14567" w:rsidRDefault="0058420A" w:rsidP="0058420A">
      <w:pPr>
        <w:spacing w:after="0" w:line="360" w:lineRule="auto"/>
        <w:ind w:left="567" w:right="567"/>
        <w:jc w:val="both"/>
        <w:rPr>
          <w:rFonts w:ascii="Palatino Linotype" w:hAnsi="Palatino Linotype" w:cs="Tahoma"/>
          <w:b/>
          <w:sz w:val="20"/>
          <w:szCs w:val="20"/>
        </w:rPr>
      </w:pPr>
      <w:r w:rsidRPr="0058420A">
        <w:rPr>
          <w:rFonts w:ascii="Palatino Linotype" w:hAnsi="Palatino Linotype" w:cs="Tahoma"/>
          <w:sz w:val="20"/>
          <w:szCs w:val="20"/>
        </w:rPr>
        <w:t xml:space="preserve">III. </w:t>
      </w:r>
      <w:r w:rsidRPr="00B14567">
        <w:rPr>
          <w:rFonts w:ascii="Palatino Linotype" w:hAnsi="Palatino Linotype" w:cs="Tahoma"/>
          <w:b/>
          <w:sz w:val="20"/>
          <w:szCs w:val="20"/>
        </w:rPr>
        <w:t>El particular, sea persona física o jurídica colectiva, señalado como presunto responsable en la</w:t>
      </w:r>
      <w:r w:rsidRPr="00B14567">
        <w:rPr>
          <w:rFonts w:ascii="Palatino Linotype" w:hAnsi="Palatino Linotype" w:cs="Tahoma"/>
          <w:b/>
          <w:sz w:val="20"/>
          <w:szCs w:val="20"/>
        </w:rPr>
        <w:t xml:space="preserve"> </w:t>
      </w:r>
      <w:r w:rsidRPr="00B14567">
        <w:rPr>
          <w:rFonts w:ascii="Palatino Linotype" w:hAnsi="Palatino Linotype" w:cs="Tahoma"/>
          <w:b/>
          <w:sz w:val="20"/>
          <w:szCs w:val="20"/>
        </w:rPr>
        <w:t>comisión de faltas de particulares.</w:t>
      </w:r>
    </w:p>
    <w:p w14:paraId="4793B5EC" w14:textId="10AECDD0" w:rsidR="0058420A" w:rsidRPr="00B14567" w:rsidRDefault="0058420A" w:rsidP="0058420A">
      <w:pPr>
        <w:spacing w:after="0" w:line="360" w:lineRule="auto"/>
        <w:ind w:left="567" w:right="567"/>
        <w:jc w:val="both"/>
        <w:rPr>
          <w:rFonts w:ascii="Palatino Linotype" w:hAnsi="Palatino Linotype" w:cs="Tahoma"/>
          <w:b/>
          <w:sz w:val="20"/>
          <w:szCs w:val="20"/>
        </w:rPr>
      </w:pPr>
      <w:r w:rsidRPr="0058420A">
        <w:rPr>
          <w:rFonts w:ascii="Palatino Linotype" w:hAnsi="Palatino Linotype" w:cs="Tahoma"/>
          <w:sz w:val="20"/>
          <w:szCs w:val="20"/>
        </w:rPr>
        <w:t xml:space="preserve">IV. </w:t>
      </w:r>
      <w:r w:rsidRPr="00B14567">
        <w:rPr>
          <w:rFonts w:ascii="Palatino Linotype" w:hAnsi="Palatino Linotype" w:cs="Tahoma"/>
          <w:b/>
          <w:sz w:val="20"/>
          <w:szCs w:val="20"/>
        </w:rPr>
        <w:t>Los terceros, que son todos aquellos a quienes pueda afectar la resolución que se dicte en el</w:t>
      </w:r>
      <w:r w:rsidRPr="00B14567">
        <w:rPr>
          <w:rFonts w:ascii="Palatino Linotype" w:hAnsi="Palatino Linotype" w:cs="Tahoma"/>
          <w:b/>
          <w:sz w:val="20"/>
          <w:szCs w:val="20"/>
        </w:rPr>
        <w:t xml:space="preserve"> </w:t>
      </w:r>
      <w:r w:rsidRPr="00B14567">
        <w:rPr>
          <w:rFonts w:ascii="Palatino Linotype" w:hAnsi="Palatino Linotype" w:cs="Tahoma"/>
          <w:b/>
          <w:sz w:val="20"/>
          <w:szCs w:val="20"/>
        </w:rPr>
        <w:t>procedimiento de responsabilidad administrativa, incluido el denunciante.</w:t>
      </w:r>
    </w:p>
    <w:p w14:paraId="6FD520C7" w14:textId="18A752AD" w:rsid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lastRenderedPageBreak/>
        <w:t>Artículo 121. Las partes señaladas en las fracciones II, III y IV del artículo anterior, podrán autorizar a</w:t>
      </w:r>
      <w:r w:rsidRPr="0058420A">
        <w:rPr>
          <w:rFonts w:ascii="Palatino Linotype" w:hAnsi="Palatino Linotype" w:cs="Tahoma"/>
          <w:sz w:val="20"/>
          <w:szCs w:val="20"/>
        </w:rPr>
        <w:t xml:space="preserve"> </w:t>
      </w:r>
      <w:r w:rsidRPr="0058420A">
        <w:rPr>
          <w:rFonts w:ascii="Palatino Linotype" w:hAnsi="Palatino Linotype" w:cs="Tahoma"/>
          <w:sz w:val="20"/>
          <w:szCs w:val="20"/>
        </w:rPr>
        <w:t>una o varias personas con capacidad legal para que en su nombre y representación puedan:</w:t>
      </w:r>
    </w:p>
    <w:p w14:paraId="659E8EFC" w14:textId="77777777" w:rsidR="00B14567" w:rsidRPr="0058420A" w:rsidRDefault="00B14567" w:rsidP="0058420A">
      <w:pPr>
        <w:spacing w:after="0" w:line="360" w:lineRule="auto"/>
        <w:ind w:left="567" w:right="567"/>
        <w:jc w:val="both"/>
        <w:rPr>
          <w:rFonts w:ascii="Palatino Linotype" w:hAnsi="Palatino Linotype" w:cs="Tahoma"/>
          <w:sz w:val="20"/>
          <w:szCs w:val="20"/>
        </w:rPr>
      </w:pPr>
    </w:p>
    <w:p w14:paraId="0F8AA245" w14:textId="18BC58F6"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I. Oír y recibir notificaciones, interponer los recursos que procedan, ofrecer e intervenir en el desahogo</w:t>
      </w:r>
      <w:r w:rsidRPr="0058420A">
        <w:rPr>
          <w:rFonts w:ascii="Palatino Linotype" w:hAnsi="Palatino Linotype" w:cs="Tahoma"/>
          <w:sz w:val="20"/>
          <w:szCs w:val="20"/>
        </w:rPr>
        <w:t xml:space="preserve"> </w:t>
      </w:r>
      <w:r w:rsidRPr="0058420A">
        <w:rPr>
          <w:rFonts w:ascii="Palatino Linotype" w:hAnsi="Palatino Linotype" w:cs="Tahoma"/>
          <w:sz w:val="20"/>
          <w:szCs w:val="20"/>
        </w:rPr>
        <w:t>de pruebas, alegar en las audiencias, pedir se dicte sentencia para evitar la consumación del término</w:t>
      </w:r>
      <w:r w:rsidRPr="0058420A">
        <w:rPr>
          <w:rFonts w:ascii="Palatino Linotype" w:hAnsi="Palatino Linotype" w:cs="Tahoma"/>
          <w:sz w:val="20"/>
          <w:szCs w:val="20"/>
        </w:rPr>
        <w:t xml:space="preserve"> </w:t>
      </w:r>
      <w:r w:rsidRPr="0058420A">
        <w:rPr>
          <w:rFonts w:ascii="Palatino Linotype" w:hAnsi="Palatino Linotype" w:cs="Tahoma"/>
          <w:sz w:val="20"/>
          <w:szCs w:val="20"/>
        </w:rPr>
        <w:t>de caducidad por inactividad procesal y realizar cualquier acto que resulte ser necesario para la</w:t>
      </w:r>
      <w:r w:rsidRPr="0058420A">
        <w:rPr>
          <w:rFonts w:ascii="Palatino Linotype" w:hAnsi="Palatino Linotype" w:cs="Tahoma"/>
          <w:sz w:val="20"/>
          <w:szCs w:val="20"/>
        </w:rPr>
        <w:t xml:space="preserve"> </w:t>
      </w:r>
      <w:r w:rsidRPr="0058420A">
        <w:rPr>
          <w:rFonts w:ascii="Palatino Linotype" w:hAnsi="Palatino Linotype" w:cs="Tahoma"/>
          <w:sz w:val="20"/>
          <w:szCs w:val="20"/>
        </w:rPr>
        <w:t>defensa de los derechos del autorizante, pero no podrá substituir o delegar dichas facultades en un</w:t>
      </w:r>
      <w:r w:rsidRPr="0058420A">
        <w:rPr>
          <w:rFonts w:ascii="Palatino Linotype" w:hAnsi="Palatino Linotype" w:cs="Tahoma"/>
          <w:sz w:val="20"/>
          <w:szCs w:val="20"/>
        </w:rPr>
        <w:t xml:space="preserve"> </w:t>
      </w:r>
      <w:r w:rsidRPr="0058420A">
        <w:rPr>
          <w:rFonts w:ascii="Palatino Linotype" w:hAnsi="Palatino Linotype" w:cs="Tahoma"/>
          <w:sz w:val="20"/>
          <w:szCs w:val="20"/>
        </w:rPr>
        <w:t>tercero.</w:t>
      </w:r>
    </w:p>
    <w:p w14:paraId="547FE225" w14:textId="7777777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II. Únicamente podrán ser autorizados para oír notificaciones e imponerse de los autos.</w:t>
      </w:r>
    </w:p>
    <w:p w14:paraId="504CB8A9" w14:textId="10B02784"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Las personas autorizadas conforme a la fracción I del presente artículo, deberán acreditar encontrarse</w:t>
      </w:r>
      <w:r w:rsidRPr="0058420A">
        <w:rPr>
          <w:rFonts w:ascii="Palatino Linotype" w:hAnsi="Palatino Linotype" w:cs="Tahoma"/>
          <w:sz w:val="20"/>
          <w:szCs w:val="20"/>
        </w:rPr>
        <w:t xml:space="preserve"> </w:t>
      </w:r>
      <w:r w:rsidRPr="0058420A">
        <w:rPr>
          <w:rFonts w:ascii="Palatino Linotype" w:hAnsi="Palatino Linotype" w:cs="Tahoma"/>
          <w:sz w:val="20"/>
          <w:szCs w:val="20"/>
        </w:rPr>
        <w:t>legalmente autorizadas para ejercer la profesión de abogado o licenciado en derecho, debiendo</w:t>
      </w:r>
      <w:r w:rsidRPr="0058420A">
        <w:rPr>
          <w:rFonts w:ascii="Palatino Linotype" w:hAnsi="Palatino Linotype" w:cs="Tahoma"/>
          <w:sz w:val="20"/>
          <w:szCs w:val="20"/>
        </w:rPr>
        <w:t xml:space="preserve"> </w:t>
      </w:r>
      <w:r w:rsidRPr="0058420A">
        <w:rPr>
          <w:rFonts w:ascii="Palatino Linotype" w:hAnsi="Palatino Linotype" w:cs="Tahoma"/>
          <w:sz w:val="20"/>
          <w:szCs w:val="20"/>
        </w:rPr>
        <w:t>proporcionar los datos correspondientes en el escrito en que se otorgue dicha autorización y mostrar la</w:t>
      </w:r>
      <w:r w:rsidRPr="0058420A">
        <w:rPr>
          <w:rFonts w:ascii="Palatino Linotype" w:hAnsi="Palatino Linotype" w:cs="Tahoma"/>
          <w:sz w:val="20"/>
          <w:szCs w:val="20"/>
        </w:rPr>
        <w:t xml:space="preserve"> </w:t>
      </w:r>
      <w:r w:rsidRPr="0058420A">
        <w:rPr>
          <w:rFonts w:ascii="Palatino Linotype" w:hAnsi="Palatino Linotype" w:cs="Tahoma"/>
          <w:sz w:val="20"/>
          <w:szCs w:val="20"/>
        </w:rPr>
        <w:t>cédula profesional o carta de pasante para la práctica de la abogacía en las diligencias de prueba en</w:t>
      </w:r>
      <w:r w:rsidRPr="0058420A">
        <w:rPr>
          <w:rFonts w:ascii="Palatino Linotype" w:hAnsi="Palatino Linotype" w:cs="Tahoma"/>
          <w:sz w:val="20"/>
          <w:szCs w:val="20"/>
        </w:rPr>
        <w:t xml:space="preserve"> </w:t>
      </w:r>
      <w:r w:rsidRPr="0058420A">
        <w:rPr>
          <w:rFonts w:ascii="Palatino Linotype" w:hAnsi="Palatino Linotype" w:cs="Tahoma"/>
          <w:sz w:val="20"/>
          <w:szCs w:val="20"/>
        </w:rPr>
        <w:t>que intervengan, en el entendido que el autorizado que no cumpla con lo anterior, perderá la facultad a</w:t>
      </w:r>
      <w:r w:rsidRPr="0058420A">
        <w:rPr>
          <w:rFonts w:ascii="Palatino Linotype" w:hAnsi="Palatino Linotype" w:cs="Tahoma"/>
          <w:sz w:val="20"/>
          <w:szCs w:val="20"/>
        </w:rPr>
        <w:t xml:space="preserve"> </w:t>
      </w:r>
      <w:r w:rsidRPr="0058420A">
        <w:rPr>
          <w:rFonts w:ascii="Palatino Linotype" w:hAnsi="Palatino Linotype" w:cs="Tahoma"/>
          <w:sz w:val="20"/>
          <w:szCs w:val="20"/>
        </w:rPr>
        <w:t>que se refiere este artículo en perjuicio de la parte que lo hubiere designado y únicamente tendrá las</w:t>
      </w:r>
      <w:r w:rsidRPr="0058420A">
        <w:rPr>
          <w:rFonts w:ascii="Palatino Linotype" w:hAnsi="Palatino Linotype" w:cs="Tahoma"/>
          <w:sz w:val="20"/>
          <w:szCs w:val="20"/>
        </w:rPr>
        <w:t xml:space="preserve"> </w:t>
      </w:r>
      <w:r w:rsidRPr="0058420A">
        <w:rPr>
          <w:rFonts w:ascii="Palatino Linotype" w:hAnsi="Palatino Linotype" w:cs="Tahoma"/>
          <w:sz w:val="20"/>
          <w:szCs w:val="20"/>
        </w:rPr>
        <w:t>que se indican en la fracción II del presente numeral.</w:t>
      </w:r>
    </w:p>
    <w:p w14:paraId="0EB1265D" w14:textId="11B9E97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Las personas autorizadas en los términos de este artículo, serán responsables de los daños y perjuicios</w:t>
      </w:r>
      <w:r w:rsidRPr="0058420A">
        <w:rPr>
          <w:rFonts w:ascii="Palatino Linotype" w:hAnsi="Palatino Linotype" w:cs="Tahoma"/>
          <w:sz w:val="20"/>
          <w:szCs w:val="20"/>
        </w:rPr>
        <w:t xml:space="preserve"> </w:t>
      </w:r>
      <w:r w:rsidRPr="0058420A">
        <w:rPr>
          <w:rFonts w:ascii="Palatino Linotype" w:hAnsi="Palatino Linotype" w:cs="Tahoma"/>
          <w:sz w:val="20"/>
          <w:szCs w:val="20"/>
        </w:rPr>
        <w:t>que causen ante el que los autorice, de acuerdo a las disposiciones aplicables del Código Civil del</w:t>
      </w:r>
      <w:r w:rsidRPr="0058420A">
        <w:rPr>
          <w:rFonts w:ascii="Palatino Linotype" w:hAnsi="Palatino Linotype" w:cs="Tahoma"/>
          <w:sz w:val="20"/>
          <w:szCs w:val="20"/>
        </w:rPr>
        <w:t xml:space="preserve"> </w:t>
      </w:r>
      <w:r w:rsidRPr="0058420A">
        <w:rPr>
          <w:rFonts w:ascii="Palatino Linotype" w:hAnsi="Palatino Linotype" w:cs="Tahoma"/>
          <w:sz w:val="20"/>
          <w:szCs w:val="20"/>
        </w:rPr>
        <w:t>Estado de México, relativas al mandato y las demás conexas. Los autorizados podrán renunciar a dicha</w:t>
      </w:r>
      <w:r w:rsidRPr="0058420A">
        <w:rPr>
          <w:rFonts w:ascii="Palatino Linotype" w:hAnsi="Palatino Linotype" w:cs="Tahoma"/>
          <w:sz w:val="20"/>
          <w:szCs w:val="20"/>
        </w:rPr>
        <w:t xml:space="preserve"> </w:t>
      </w:r>
      <w:r w:rsidRPr="0058420A">
        <w:rPr>
          <w:rFonts w:ascii="Palatino Linotype" w:hAnsi="Palatino Linotype" w:cs="Tahoma"/>
          <w:sz w:val="20"/>
          <w:szCs w:val="20"/>
        </w:rPr>
        <w:t>calidad, a través de escrito presentado a la autoridad resolutora, haciendo saber las causas de la</w:t>
      </w:r>
      <w:r w:rsidRPr="0058420A">
        <w:rPr>
          <w:rFonts w:ascii="Palatino Linotype" w:hAnsi="Palatino Linotype" w:cs="Tahoma"/>
          <w:sz w:val="20"/>
          <w:szCs w:val="20"/>
        </w:rPr>
        <w:t xml:space="preserve"> </w:t>
      </w:r>
      <w:r w:rsidRPr="0058420A">
        <w:rPr>
          <w:rFonts w:ascii="Palatino Linotype" w:hAnsi="Palatino Linotype" w:cs="Tahoma"/>
          <w:sz w:val="20"/>
          <w:szCs w:val="20"/>
        </w:rPr>
        <w:t>renuncia.</w:t>
      </w:r>
    </w:p>
    <w:p w14:paraId="25FA0B06" w14:textId="231F5297"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Las partes deberán señalar expresamente el alcance de las autorizaciones que concedan. En el acuerdo</w:t>
      </w:r>
      <w:r w:rsidRPr="0058420A">
        <w:rPr>
          <w:rFonts w:ascii="Palatino Linotype" w:hAnsi="Palatino Linotype" w:cs="Tahoma"/>
          <w:sz w:val="20"/>
          <w:szCs w:val="20"/>
        </w:rPr>
        <w:t xml:space="preserve"> </w:t>
      </w:r>
      <w:r w:rsidRPr="0058420A">
        <w:rPr>
          <w:rFonts w:ascii="Palatino Linotype" w:hAnsi="Palatino Linotype" w:cs="Tahoma"/>
          <w:sz w:val="20"/>
          <w:szCs w:val="20"/>
        </w:rPr>
        <w:t>donde se resuelvan las autorizaciones se deberá expresar con toda claridad el alcance con el que se</w:t>
      </w:r>
      <w:r w:rsidRPr="0058420A">
        <w:rPr>
          <w:rFonts w:ascii="Palatino Linotype" w:hAnsi="Palatino Linotype" w:cs="Tahoma"/>
          <w:sz w:val="20"/>
          <w:szCs w:val="20"/>
        </w:rPr>
        <w:t xml:space="preserve"> </w:t>
      </w:r>
      <w:r w:rsidRPr="0058420A">
        <w:rPr>
          <w:rFonts w:ascii="Palatino Linotype" w:hAnsi="Palatino Linotype" w:cs="Tahoma"/>
          <w:sz w:val="20"/>
          <w:szCs w:val="20"/>
        </w:rPr>
        <w:t>reconoce dicha autorización.</w:t>
      </w:r>
    </w:p>
    <w:p w14:paraId="0C4C4365" w14:textId="74FB2A48" w:rsidR="0058420A" w:rsidRPr="0058420A" w:rsidRDefault="0058420A" w:rsidP="0058420A">
      <w:pPr>
        <w:spacing w:after="0" w:line="360" w:lineRule="auto"/>
        <w:ind w:left="567" w:right="567"/>
        <w:jc w:val="both"/>
        <w:rPr>
          <w:rFonts w:ascii="Palatino Linotype" w:hAnsi="Palatino Linotype" w:cs="Tahoma"/>
          <w:sz w:val="20"/>
          <w:szCs w:val="20"/>
        </w:rPr>
      </w:pPr>
      <w:r w:rsidRPr="0058420A">
        <w:rPr>
          <w:rFonts w:ascii="Palatino Linotype" w:hAnsi="Palatino Linotype" w:cs="Tahoma"/>
          <w:sz w:val="20"/>
          <w:szCs w:val="20"/>
        </w:rPr>
        <w:t>Tratándose de personas jurídicas colectivas éstas deberán comparecer en todo momento a través de</w:t>
      </w:r>
      <w:r w:rsidRPr="0058420A">
        <w:rPr>
          <w:rFonts w:ascii="Palatino Linotype" w:hAnsi="Palatino Linotype" w:cs="Tahoma"/>
          <w:sz w:val="20"/>
          <w:szCs w:val="20"/>
        </w:rPr>
        <w:t xml:space="preserve"> </w:t>
      </w:r>
      <w:r w:rsidRPr="0058420A">
        <w:rPr>
          <w:rFonts w:ascii="Palatino Linotype" w:hAnsi="Palatino Linotype" w:cs="Tahoma"/>
          <w:sz w:val="20"/>
          <w:szCs w:val="20"/>
        </w:rPr>
        <w:t>sus representantes legales o por las personas que éstos designen, pudiendo, asimismo, designar</w:t>
      </w:r>
      <w:r w:rsidRPr="0058420A">
        <w:rPr>
          <w:rFonts w:ascii="Palatino Linotype" w:hAnsi="Palatino Linotype" w:cs="Tahoma"/>
          <w:sz w:val="20"/>
          <w:szCs w:val="20"/>
        </w:rPr>
        <w:t xml:space="preserve"> </w:t>
      </w:r>
      <w:r w:rsidRPr="0058420A">
        <w:rPr>
          <w:rFonts w:ascii="Palatino Linotype" w:hAnsi="Palatino Linotype" w:cs="Tahoma"/>
          <w:sz w:val="20"/>
          <w:szCs w:val="20"/>
        </w:rPr>
        <w:t>autorizados en términos de este artículo.</w:t>
      </w:r>
    </w:p>
    <w:p w14:paraId="7E249FCC" w14:textId="162FF8B6" w:rsidR="0058420A" w:rsidRDefault="0058420A" w:rsidP="0058420A">
      <w:pPr>
        <w:spacing w:after="0" w:line="360" w:lineRule="auto"/>
        <w:ind w:left="567" w:right="567"/>
        <w:jc w:val="both"/>
        <w:rPr>
          <w:rFonts w:ascii="Palatino Linotype" w:hAnsi="Palatino Linotype" w:cs="Tahoma"/>
        </w:rPr>
      </w:pPr>
      <w:r w:rsidRPr="0058420A">
        <w:rPr>
          <w:rFonts w:ascii="Palatino Linotype" w:hAnsi="Palatino Linotype" w:cs="Tahoma"/>
          <w:sz w:val="20"/>
          <w:szCs w:val="20"/>
        </w:rPr>
        <w:lastRenderedPageBreak/>
        <w:t xml:space="preserve">Artículo 122. </w:t>
      </w:r>
      <w:r w:rsidRPr="00B14567">
        <w:rPr>
          <w:rFonts w:ascii="Palatino Linotype" w:hAnsi="Palatino Linotype" w:cs="Tahoma"/>
          <w:b/>
          <w:sz w:val="20"/>
          <w:szCs w:val="20"/>
        </w:rPr>
        <w:t>Será de aplicación supletoria el Código de Procedimientos Administrativos del Estado de</w:t>
      </w:r>
      <w:r w:rsidRPr="00B14567">
        <w:rPr>
          <w:rFonts w:ascii="Palatino Linotype" w:hAnsi="Palatino Linotype" w:cs="Tahoma"/>
          <w:b/>
          <w:sz w:val="20"/>
          <w:szCs w:val="20"/>
        </w:rPr>
        <w:t xml:space="preserve"> </w:t>
      </w:r>
      <w:r w:rsidRPr="00B14567">
        <w:rPr>
          <w:rFonts w:ascii="Palatino Linotype" w:hAnsi="Palatino Linotype" w:cs="Tahoma"/>
          <w:b/>
          <w:sz w:val="20"/>
          <w:szCs w:val="20"/>
        </w:rPr>
        <w:t>México</w:t>
      </w:r>
      <w:r w:rsidRPr="0058420A">
        <w:rPr>
          <w:rFonts w:ascii="Palatino Linotype" w:hAnsi="Palatino Linotype" w:cs="Tahoma"/>
          <w:sz w:val="20"/>
          <w:szCs w:val="20"/>
        </w:rPr>
        <w:t>, en lo que no se oponga a lo dispuesto en el procedimiento de responsabilidad administrativa</w:t>
      </w:r>
      <w:r w:rsidRPr="0058420A">
        <w:rPr>
          <w:rFonts w:ascii="Palatino Linotype" w:hAnsi="Palatino Linotype" w:cs="Tahoma"/>
          <w:sz w:val="20"/>
          <w:szCs w:val="20"/>
        </w:rPr>
        <w:t xml:space="preserve"> </w:t>
      </w:r>
      <w:r w:rsidRPr="0058420A">
        <w:rPr>
          <w:rFonts w:ascii="Palatino Linotype" w:hAnsi="Palatino Linotype" w:cs="Tahoma"/>
          <w:sz w:val="20"/>
          <w:szCs w:val="20"/>
        </w:rPr>
        <w:t>establecido en la presente Ley.</w:t>
      </w:r>
      <w:r w:rsidRPr="0058420A">
        <w:rPr>
          <w:rFonts w:ascii="Palatino Linotype" w:hAnsi="Palatino Linotype" w:cs="Tahoma"/>
        </w:rPr>
        <w:cr/>
      </w:r>
    </w:p>
    <w:p w14:paraId="0508E32C" w14:textId="7DBA5EA0" w:rsidR="00B14567" w:rsidRDefault="00B14567" w:rsidP="0058420A">
      <w:pPr>
        <w:spacing w:after="0" w:line="360" w:lineRule="auto"/>
        <w:jc w:val="both"/>
        <w:rPr>
          <w:rFonts w:ascii="Palatino Linotype" w:hAnsi="Palatino Linotype" w:cs="Tahoma"/>
        </w:rPr>
      </w:pPr>
      <w:r>
        <w:rPr>
          <w:rFonts w:ascii="Palatino Linotype" w:hAnsi="Palatino Linotype" w:cs="Tahoma"/>
        </w:rPr>
        <w:t>De lo anterior se advierte que, procede dar inicio a una investigaci</w:t>
      </w:r>
      <w:r w:rsidR="0072753B">
        <w:rPr>
          <w:rFonts w:ascii="Palatino Linotype" w:hAnsi="Palatino Linotype" w:cs="Tahoma"/>
        </w:rPr>
        <w:t>ón por la presu</w:t>
      </w:r>
      <w:r>
        <w:rPr>
          <w:rFonts w:ascii="Palatino Linotype" w:hAnsi="Palatino Linotype" w:cs="Tahoma"/>
        </w:rPr>
        <w:t>nta responsabilidad administrativa, cuando exista la presentación de una denuncia; que dentro de los procedimientos de responsabilidad administrativa debe observarse entre otros principios, el de presunción de inocencia; que son parte dentro del procedimiento en comento: la autoridad investigadora, el servidor público y el particular señalados como presuntos responsables de la falta, así como los terceros a quienes pudiera afectar la resolución respectiva. Por último, refiere que es de aplicación supletoria en todo lo que no se contraponga a dicha Ley, el Código de Procedimientos Administrativos del Estado de M</w:t>
      </w:r>
      <w:r w:rsidR="0028528E">
        <w:rPr>
          <w:rFonts w:ascii="Palatino Linotype" w:hAnsi="Palatino Linotype" w:cs="Tahoma"/>
        </w:rPr>
        <w:t>éxico.</w:t>
      </w:r>
    </w:p>
    <w:p w14:paraId="7D3ECA57" w14:textId="77777777" w:rsidR="0028528E" w:rsidRDefault="0028528E" w:rsidP="0058420A">
      <w:pPr>
        <w:spacing w:after="0" w:line="360" w:lineRule="auto"/>
        <w:jc w:val="both"/>
        <w:rPr>
          <w:rFonts w:ascii="Palatino Linotype" w:hAnsi="Palatino Linotype" w:cs="Tahoma"/>
        </w:rPr>
      </w:pPr>
    </w:p>
    <w:p w14:paraId="3793DF76" w14:textId="012540BD" w:rsidR="0028528E" w:rsidRDefault="0028528E" w:rsidP="0058420A">
      <w:pPr>
        <w:spacing w:after="0" w:line="360" w:lineRule="auto"/>
        <w:jc w:val="both"/>
        <w:rPr>
          <w:rFonts w:ascii="Palatino Linotype" w:hAnsi="Palatino Linotype" w:cs="Tahoma"/>
        </w:rPr>
      </w:pPr>
      <w:r>
        <w:rPr>
          <w:rFonts w:ascii="Palatino Linotype" w:hAnsi="Palatino Linotype" w:cs="Tahoma"/>
        </w:rPr>
        <w:t>De lo anterior se desprende que un expediente de denuncia, no contiene únicamente documentos con datos personales del solicitante, quien a decir del Sujeto Obligado actúa en calidad de denunciante (</w:t>
      </w:r>
      <w:r w:rsidRPr="0028528E">
        <w:rPr>
          <w:rFonts w:ascii="Palatino Linotype" w:hAnsi="Palatino Linotype" w:cs="Tahoma"/>
          <w:i/>
        </w:rPr>
        <w:t>EXPEDIENTE QUEJA 17270-2017-2625.pdf, archivo que contiene 52 fojas, en copia simple, el cual contiene una consulta electrónica del Sistema de Atención Mexiquense en donde se aprecia la queja interpuesta por la Recurrente</w:t>
      </w:r>
      <w:r>
        <w:rPr>
          <w:rFonts w:ascii="Palatino Linotype" w:hAnsi="Palatino Linotype" w:cs="Tahoma"/>
        </w:rPr>
        <w:t>), de tal suerte que dentro del expediente pueden existir datos de servidores públicos o particulares señalados como probables responsables de la responsabilidad administrativa, los cuales no pueden ser de acceso a la Recurrente, de conformidad con las limitaciones establecidas por la propia</w:t>
      </w:r>
      <w:r w:rsidRPr="0028528E">
        <w:t xml:space="preserve"> </w:t>
      </w:r>
      <w:r w:rsidRPr="0028528E">
        <w:rPr>
          <w:rFonts w:ascii="Palatino Linotype" w:hAnsi="Palatino Linotype" w:cs="Tahoma"/>
        </w:rPr>
        <w:t>Ley de Protección de Datos Personales en Posesión de los Sujetos Obligados del Estado de México y Municipios</w:t>
      </w:r>
      <w:r>
        <w:rPr>
          <w:rFonts w:ascii="Palatino Linotype" w:hAnsi="Palatino Linotype" w:cs="Tahoma"/>
        </w:rPr>
        <w:t>, de acuerdo con los dispositivos siguientes:</w:t>
      </w:r>
    </w:p>
    <w:p w14:paraId="58CED0FC" w14:textId="77777777" w:rsidR="0028528E" w:rsidRDefault="0028528E" w:rsidP="0058420A">
      <w:pPr>
        <w:spacing w:after="0" w:line="360" w:lineRule="auto"/>
        <w:jc w:val="both"/>
        <w:rPr>
          <w:rFonts w:ascii="Palatino Linotype" w:hAnsi="Palatino Linotype" w:cs="Tahoma"/>
        </w:rPr>
      </w:pPr>
    </w:p>
    <w:p w14:paraId="1B16F11F" w14:textId="77777777" w:rsidR="0028528E" w:rsidRDefault="0028528E" w:rsidP="0058420A">
      <w:pPr>
        <w:spacing w:after="0" w:line="360" w:lineRule="auto"/>
        <w:jc w:val="both"/>
        <w:rPr>
          <w:rFonts w:ascii="Palatino Linotype" w:hAnsi="Palatino Linotype" w:cs="Tahoma"/>
        </w:rPr>
      </w:pPr>
    </w:p>
    <w:p w14:paraId="342E6AC0" w14:textId="77777777"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lastRenderedPageBreak/>
        <w:t>Derechos ARCO</w:t>
      </w:r>
    </w:p>
    <w:p w14:paraId="765B6324" w14:textId="1EC991B5"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Artículo 97. Los derechos de acceso, rectificación, cancelación y oposición de datos personales son</w:t>
      </w:r>
      <w:r w:rsidRPr="0028528E">
        <w:rPr>
          <w:rFonts w:ascii="Palatino Linotype" w:hAnsi="Palatino Linotype" w:cs="Tahoma"/>
          <w:sz w:val="20"/>
          <w:szCs w:val="20"/>
        </w:rPr>
        <w:t xml:space="preserve"> </w:t>
      </w:r>
      <w:r w:rsidRPr="0028528E">
        <w:rPr>
          <w:rFonts w:ascii="Palatino Linotype" w:hAnsi="Palatino Linotype" w:cs="Tahoma"/>
          <w:sz w:val="20"/>
          <w:szCs w:val="20"/>
        </w:rPr>
        <w:t>derechos independientes. El ejercicio de cualquiera de ellos no es requisito previo no impide el ejercicio</w:t>
      </w:r>
      <w:r w:rsidRPr="0028528E">
        <w:rPr>
          <w:rFonts w:ascii="Palatino Linotype" w:hAnsi="Palatino Linotype" w:cs="Tahoma"/>
          <w:sz w:val="20"/>
          <w:szCs w:val="20"/>
        </w:rPr>
        <w:t xml:space="preserve"> </w:t>
      </w:r>
      <w:r w:rsidRPr="0028528E">
        <w:rPr>
          <w:rFonts w:ascii="Palatino Linotype" w:hAnsi="Palatino Linotype" w:cs="Tahoma"/>
          <w:sz w:val="20"/>
          <w:szCs w:val="20"/>
        </w:rPr>
        <w:t>de otro. La procedencia de estos derechos, en su caso, se hará efectiva una vez que el titular o su</w:t>
      </w:r>
      <w:r w:rsidRPr="0028528E">
        <w:rPr>
          <w:rFonts w:ascii="Palatino Linotype" w:hAnsi="Palatino Linotype" w:cs="Tahoma"/>
          <w:sz w:val="20"/>
          <w:szCs w:val="20"/>
        </w:rPr>
        <w:t xml:space="preserve"> </w:t>
      </w:r>
      <w:r w:rsidRPr="0028528E">
        <w:rPr>
          <w:rFonts w:ascii="Palatino Linotype" w:hAnsi="Palatino Linotype" w:cs="Tahoma"/>
          <w:sz w:val="20"/>
          <w:szCs w:val="20"/>
        </w:rPr>
        <w:t>representante legal acrediten su identidad o representación, respectivamente.</w:t>
      </w:r>
    </w:p>
    <w:p w14:paraId="6E76A9A8" w14:textId="1017A79D" w:rsidR="0028528E" w:rsidRPr="0028528E" w:rsidRDefault="0028528E" w:rsidP="0028528E">
      <w:pPr>
        <w:spacing w:after="0" w:line="360" w:lineRule="auto"/>
        <w:ind w:left="567" w:right="567"/>
        <w:jc w:val="both"/>
        <w:rPr>
          <w:rFonts w:ascii="Palatino Linotype" w:hAnsi="Palatino Linotype" w:cs="Tahoma"/>
          <w:b/>
          <w:sz w:val="20"/>
          <w:szCs w:val="20"/>
        </w:rPr>
      </w:pPr>
      <w:r w:rsidRPr="0028528E">
        <w:rPr>
          <w:rFonts w:ascii="Palatino Linotype" w:hAnsi="Palatino Linotype" w:cs="Tahoma"/>
          <w:b/>
          <w:sz w:val="20"/>
          <w:szCs w:val="20"/>
        </w:rPr>
        <w:t>En ningún caso el acceso a los datos personales de un titular podrá afectar los derechos y libertades de</w:t>
      </w:r>
      <w:r w:rsidRPr="0028528E">
        <w:rPr>
          <w:rFonts w:ascii="Palatino Linotype" w:hAnsi="Palatino Linotype" w:cs="Tahoma"/>
          <w:b/>
          <w:sz w:val="20"/>
          <w:szCs w:val="20"/>
        </w:rPr>
        <w:t xml:space="preserve"> </w:t>
      </w:r>
      <w:r w:rsidRPr="0028528E">
        <w:rPr>
          <w:rFonts w:ascii="Palatino Linotype" w:hAnsi="Palatino Linotype" w:cs="Tahoma"/>
          <w:b/>
          <w:sz w:val="20"/>
          <w:szCs w:val="20"/>
        </w:rPr>
        <w:t>otros.</w:t>
      </w:r>
    </w:p>
    <w:p w14:paraId="08BC7930" w14:textId="0AB6F946" w:rsidR="00EB204F"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El ejercicio de cualquiera de los derechos ARCO, forma parte de las garantías primarias del derecho a</w:t>
      </w:r>
      <w:r w:rsidRPr="0028528E">
        <w:rPr>
          <w:rFonts w:ascii="Palatino Linotype" w:hAnsi="Palatino Linotype" w:cs="Tahoma"/>
          <w:sz w:val="20"/>
          <w:szCs w:val="20"/>
        </w:rPr>
        <w:t xml:space="preserve"> </w:t>
      </w:r>
      <w:r w:rsidRPr="0028528E">
        <w:rPr>
          <w:rFonts w:ascii="Palatino Linotype" w:hAnsi="Palatino Linotype" w:cs="Tahoma"/>
          <w:sz w:val="20"/>
          <w:szCs w:val="20"/>
        </w:rPr>
        <w:t>la protección de datos personales.</w:t>
      </w:r>
    </w:p>
    <w:p w14:paraId="3C7C13C7" w14:textId="77777777" w:rsidR="0028528E" w:rsidRPr="0028528E" w:rsidRDefault="0028528E" w:rsidP="0028528E">
      <w:pPr>
        <w:spacing w:after="0" w:line="360" w:lineRule="auto"/>
        <w:ind w:left="567" w:right="567"/>
        <w:jc w:val="both"/>
        <w:rPr>
          <w:rFonts w:ascii="Palatino Linotype" w:hAnsi="Palatino Linotype" w:cs="Tahoma"/>
          <w:sz w:val="20"/>
          <w:szCs w:val="20"/>
        </w:rPr>
      </w:pPr>
    </w:p>
    <w:p w14:paraId="2885A083" w14:textId="2745D153"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Improcedencia de los derechos ARCO</w:t>
      </w:r>
    </w:p>
    <w:p w14:paraId="3B282A88" w14:textId="1863DFD9"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Artículo 117. Las únicas causas en las que el ejercicio de los derechos ARCO no será procedente son:</w:t>
      </w:r>
      <w:r w:rsidRPr="0028528E">
        <w:rPr>
          <w:rFonts w:ascii="Palatino Linotype" w:hAnsi="Palatino Linotype" w:cs="Tahoma"/>
          <w:sz w:val="20"/>
          <w:szCs w:val="20"/>
        </w:rPr>
        <w:cr/>
      </w:r>
    </w:p>
    <w:p w14:paraId="4A8F5947" w14:textId="1E8F0129"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I. a II. …</w:t>
      </w:r>
    </w:p>
    <w:p w14:paraId="07048434" w14:textId="77777777"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III. Cuando exista un impedimento legal.</w:t>
      </w:r>
    </w:p>
    <w:p w14:paraId="535082C6" w14:textId="77777777"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IV. Cuando se lesionen los derechos de un tercero.</w:t>
      </w:r>
    </w:p>
    <w:p w14:paraId="126501BA" w14:textId="52B5D57F"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V. Cuando se obstaculicen actuaciones jud</w:t>
      </w:r>
      <w:bookmarkStart w:id="0" w:name="_GoBack"/>
      <w:bookmarkEnd w:id="0"/>
      <w:r w:rsidRPr="0028528E">
        <w:rPr>
          <w:rFonts w:ascii="Palatino Linotype" w:hAnsi="Palatino Linotype" w:cs="Tahoma"/>
          <w:sz w:val="20"/>
          <w:szCs w:val="20"/>
        </w:rPr>
        <w:t>iciales o administrativas.</w:t>
      </w:r>
    </w:p>
    <w:p w14:paraId="24CC54BC" w14:textId="1C321A8B" w:rsidR="0028528E" w:rsidRPr="0028528E" w:rsidRDefault="0028528E" w:rsidP="0028528E">
      <w:pPr>
        <w:spacing w:after="0" w:line="360" w:lineRule="auto"/>
        <w:ind w:left="567" w:right="567"/>
        <w:jc w:val="both"/>
        <w:rPr>
          <w:rFonts w:ascii="Palatino Linotype" w:hAnsi="Palatino Linotype" w:cs="Tahoma"/>
          <w:sz w:val="20"/>
          <w:szCs w:val="20"/>
        </w:rPr>
      </w:pPr>
      <w:r w:rsidRPr="0028528E">
        <w:rPr>
          <w:rFonts w:ascii="Palatino Linotype" w:hAnsi="Palatino Linotype" w:cs="Tahoma"/>
          <w:sz w:val="20"/>
          <w:szCs w:val="20"/>
        </w:rPr>
        <w:t>VI. a X. …</w:t>
      </w:r>
    </w:p>
    <w:p w14:paraId="296B9044" w14:textId="77777777" w:rsidR="0028528E" w:rsidRDefault="0028528E" w:rsidP="006C76CB">
      <w:pPr>
        <w:spacing w:after="0" w:line="360" w:lineRule="auto"/>
        <w:jc w:val="both"/>
        <w:rPr>
          <w:rFonts w:ascii="Palatino Linotype" w:hAnsi="Palatino Linotype" w:cs="Tahoma"/>
        </w:rPr>
      </w:pPr>
    </w:p>
    <w:p w14:paraId="7F0F93BA" w14:textId="14FFD430" w:rsidR="0028528E" w:rsidRDefault="00EB204F" w:rsidP="006C76CB">
      <w:pPr>
        <w:spacing w:after="0" w:line="360" w:lineRule="auto"/>
        <w:jc w:val="both"/>
        <w:rPr>
          <w:rFonts w:ascii="Palatino Linotype" w:hAnsi="Palatino Linotype" w:cs="Tahoma"/>
        </w:rPr>
      </w:pPr>
      <w:r>
        <w:rPr>
          <w:rFonts w:ascii="Palatino Linotype" w:hAnsi="Palatino Linotype" w:cs="Tahoma"/>
        </w:rPr>
        <w:t xml:space="preserve">De </w:t>
      </w:r>
      <w:r w:rsidR="0028528E">
        <w:rPr>
          <w:rFonts w:ascii="Palatino Linotype" w:hAnsi="Palatino Linotype" w:cs="Tahoma"/>
        </w:rPr>
        <w:t>acuerdo con el expuesto, no era dable instruir en la Resolución, la entrega en copia certificada de</w:t>
      </w:r>
      <w:r w:rsidR="00E473C5">
        <w:rPr>
          <w:rFonts w:ascii="Palatino Linotype" w:hAnsi="Palatino Linotype" w:cs="Tahoma"/>
        </w:rPr>
        <w:t xml:space="preserve"> todo e</w:t>
      </w:r>
      <w:r w:rsidR="0028528E">
        <w:rPr>
          <w:rFonts w:ascii="Palatino Linotype" w:hAnsi="Palatino Linotype" w:cs="Tahoma"/>
        </w:rPr>
        <w:t xml:space="preserve">l expediente, de manera general, pues de la respuesta, además de documentos que sí contienen los datos personales de la Recurrente, se advierte que existen oficios, </w:t>
      </w:r>
      <w:r w:rsidR="00EC608F">
        <w:rPr>
          <w:rFonts w:ascii="Palatino Linotype" w:hAnsi="Palatino Linotype" w:cs="Tahoma"/>
        </w:rPr>
        <w:t xml:space="preserve">escritos imágenes, una cédula profesional que no se indica quién es el propietario, notificaciones, actas administrativas, así como diversos documentos en los que el Sujeto </w:t>
      </w:r>
      <w:r w:rsidR="00E473C5">
        <w:rPr>
          <w:rFonts w:ascii="Palatino Linotype" w:hAnsi="Palatino Linotype" w:cs="Tahoma"/>
        </w:rPr>
        <w:t xml:space="preserve">Obligado </w:t>
      </w:r>
      <w:r w:rsidR="00EC608F">
        <w:rPr>
          <w:rFonts w:ascii="Palatino Linotype" w:hAnsi="Palatino Linotype" w:cs="Tahoma"/>
        </w:rPr>
        <w:t>no indicó que tuvieran datos personales de la Recurrente.</w:t>
      </w:r>
    </w:p>
    <w:p w14:paraId="7B407BD7" w14:textId="77777777" w:rsidR="0028528E" w:rsidRDefault="0028528E" w:rsidP="006C76CB">
      <w:pPr>
        <w:spacing w:after="0" w:line="360" w:lineRule="auto"/>
        <w:jc w:val="both"/>
        <w:rPr>
          <w:rFonts w:ascii="Palatino Linotype" w:hAnsi="Palatino Linotype" w:cs="Tahoma"/>
        </w:rPr>
      </w:pPr>
    </w:p>
    <w:p w14:paraId="77AF43CE" w14:textId="4DFEE79B" w:rsidR="00E473C5" w:rsidRDefault="0002614E" w:rsidP="006C76CB">
      <w:pPr>
        <w:spacing w:after="0" w:line="360" w:lineRule="auto"/>
        <w:jc w:val="both"/>
        <w:rPr>
          <w:rFonts w:ascii="Palatino Linotype" w:hAnsi="Palatino Linotype" w:cs="Arial"/>
          <w:sz w:val="23"/>
          <w:szCs w:val="23"/>
        </w:rPr>
      </w:pPr>
      <w:r>
        <w:rPr>
          <w:rFonts w:ascii="Palatino Linotype" w:hAnsi="Palatino Linotype" w:cs="Arial"/>
          <w:sz w:val="23"/>
          <w:szCs w:val="23"/>
        </w:rPr>
        <w:lastRenderedPageBreak/>
        <w:t xml:space="preserve">Por lo expuesto, considero que la Ponencia Resolutora debió realizar </w:t>
      </w:r>
      <w:r w:rsidR="00F76D0F">
        <w:rPr>
          <w:rFonts w:ascii="Palatino Linotype" w:hAnsi="Palatino Linotype" w:cs="Arial"/>
          <w:sz w:val="23"/>
          <w:szCs w:val="23"/>
        </w:rPr>
        <w:t xml:space="preserve">el análisis de la </w:t>
      </w:r>
      <w:r w:rsidR="00E473C5">
        <w:rPr>
          <w:rFonts w:ascii="Palatino Linotype" w:hAnsi="Palatino Linotype" w:cs="Arial"/>
          <w:sz w:val="23"/>
          <w:szCs w:val="23"/>
        </w:rPr>
        <w:t>naturaleza de la información solicitada consistente en un expediente de queja e instruir la entrega en copia simple no de todo el expediente, sino de aquella documentación que tuviera los datos personales de la Recurrente y en su caso, analizar la viabilidad de entregar versiones públicas, de aquellos documentos que tuvieran datos personales de terceros o, que en su caso pudieran obstaculizar la  investigación por la presunta comisión de</w:t>
      </w:r>
      <w:r w:rsidR="00310C58">
        <w:rPr>
          <w:rFonts w:ascii="Palatino Linotype" w:hAnsi="Palatino Linotype" w:cs="Arial"/>
          <w:sz w:val="23"/>
          <w:szCs w:val="23"/>
        </w:rPr>
        <w:t xml:space="preserve"> faltas</w:t>
      </w:r>
      <w:r w:rsidR="00E473C5">
        <w:rPr>
          <w:rFonts w:ascii="Palatino Linotype" w:hAnsi="Palatino Linotype" w:cs="Arial"/>
          <w:sz w:val="23"/>
          <w:szCs w:val="23"/>
        </w:rPr>
        <w:t xml:space="preserve"> administrativas.</w:t>
      </w:r>
    </w:p>
    <w:p w14:paraId="55CF1F1A" w14:textId="77777777" w:rsidR="00E473C5" w:rsidRDefault="00E473C5" w:rsidP="006C76CB">
      <w:pPr>
        <w:spacing w:after="0" w:line="360" w:lineRule="auto"/>
        <w:jc w:val="both"/>
        <w:rPr>
          <w:rFonts w:ascii="Palatino Linotype" w:hAnsi="Palatino Linotype" w:cs="Arial"/>
          <w:sz w:val="23"/>
          <w:szCs w:val="23"/>
        </w:rPr>
      </w:pPr>
    </w:p>
    <w:p w14:paraId="45D830C1" w14:textId="77777777" w:rsidR="009E0861" w:rsidRDefault="009E0861" w:rsidP="006C76CB">
      <w:pPr>
        <w:spacing w:after="0" w:line="360" w:lineRule="auto"/>
        <w:jc w:val="both"/>
        <w:rPr>
          <w:rFonts w:ascii="Palatino Linotype" w:hAnsi="Palatino Linotype" w:cs="Tahoma"/>
        </w:rPr>
      </w:pPr>
      <w:r w:rsidRPr="006C76CB">
        <w:rPr>
          <w:rFonts w:ascii="Palatino Linotype" w:hAnsi="Palatino Linotype" w:cs="Tahoma"/>
        </w:rPr>
        <w:t xml:space="preserve">Así, con base en los razonamientos expuestos, </w:t>
      </w:r>
      <w:r w:rsidRPr="006C76CB">
        <w:rPr>
          <w:rFonts w:ascii="Palatino Linotype" w:hAnsi="Palatino Linotype" w:cs="Tahoma"/>
          <w:b/>
        </w:rPr>
        <w:t>se emite el presente Voto Particular</w:t>
      </w:r>
      <w:r w:rsidRPr="006C76CB">
        <w:rPr>
          <w:rFonts w:ascii="Palatino Linotype" w:hAnsi="Palatino Linotype" w:cs="Tahoma"/>
        </w:rPr>
        <w:t>.</w:t>
      </w:r>
    </w:p>
    <w:p w14:paraId="11D32ED6" w14:textId="77777777" w:rsidR="00041B19" w:rsidRPr="006C76CB" w:rsidRDefault="00041B19" w:rsidP="006C76CB">
      <w:pPr>
        <w:spacing w:after="0" w:line="360" w:lineRule="auto"/>
        <w:jc w:val="both"/>
        <w:rPr>
          <w:rFonts w:ascii="Palatino Linotype" w:hAnsi="Palatino Linotype" w:cs="Tahoma"/>
        </w:rPr>
      </w:pPr>
    </w:p>
    <w:p w14:paraId="5C69C1D6" w14:textId="77777777" w:rsidR="00553ADE" w:rsidRPr="006C76CB" w:rsidRDefault="00553ADE" w:rsidP="006C76CB">
      <w:pPr>
        <w:spacing w:after="0" w:line="360" w:lineRule="auto"/>
        <w:jc w:val="center"/>
        <w:rPr>
          <w:rFonts w:ascii="Palatino Linotype" w:hAnsi="Palatino Linotype" w:cs="Tahoma"/>
          <w:b/>
        </w:rPr>
      </w:pPr>
      <w:r w:rsidRPr="006C76CB">
        <w:rPr>
          <w:rFonts w:ascii="Palatino Linotype" w:hAnsi="Palatino Linotype" w:cs="Tahoma"/>
          <w:b/>
        </w:rPr>
        <w:t>Luis Gustavo Parra Noriega</w:t>
      </w:r>
    </w:p>
    <w:p w14:paraId="603E2640" w14:textId="77777777" w:rsidR="003512C9" w:rsidRDefault="00553ADE" w:rsidP="006C76CB">
      <w:pPr>
        <w:spacing w:after="0" w:line="360" w:lineRule="auto"/>
        <w:jc w:val="center"/>
        <w:rPr>
          <w:rFonts w:ascii="Palatino Linotype" w:hAnsi="Palatino Linotype" w:cs="Tahoma"/>
        </w:rPr>
      </w:pPr>
      <w:r w:rsidRPr="006C76CB">
        <w:rPr>
          <w:rFonts w:ascii="Palatino Linotype" w:hAnsi="Palatino Linotype" w:cs="Tahoma"/>
        </w:rPr>
        <w:t>Comisionado</w:t>
      </w:r>
    </w:p>
    <w:p w14:paraId="0E04B5F5" w14:textId="77777777" w:rsidR="00310C58" w:rsidRPr="006C76CB" w:rsidRDefault="00310C58" w:rsidP="00310C58">
      <w:pPr>
        <w:spacing w:after="0" w:line="360" w:lineRule="auto"/>
        <w:jc w:val="center"/>
        <w:rPr>
          <w:rFonts w:ascii="Palatino Linotype" w:hAnsi="Palatino Linotype" w:cs="Tahoma"/>
          <w:b/>
        </w:rPr>
      </w:pPr>
      <w:r w:rsidRPr="006C76CB">
        <w:rPr>
          <w:rFonts w:ascii="Palatino Linotype" w:hAnsi="Palatino Linotype" w:cs="Tahoma"/>
          <w:b/>
        </w:rPr>
        <w:t>(Rúbrica)</w:t>
      </w:r>
    </w:p>
    <w:p w14:paraId="6663641E" w14:textId="77777777" w:rsidR="00310C58" w:rsidRPr="006C76CB" w:rsidRDefault="00310C58" w:rsidP="006C76CB">
      <w:pPr>
        <w:spacing w:after="0" w:line="360" w:lineRule="auto"/>
        <w:jc w:val="center"/>
        <w:rPr>
          <w:rFonts w:ascii="Palatino Linotype" w:hAnsi="Palatino Linotype" w:cs="Tahoma"/>
        </w:rPr>
      </w:pPr>
    </w:p>
    <w:sectPr w:rsidR="00310C58" w:rsidRPr="006C76C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EC208" w14:textId="77777777" w:rsidR="005C7AFD" w:rsidRDefault="005C7AFD" w:rsidP="00EE29F6">
      <w:pPr>
        <w:spacing w:after="0" w:line="240" w:lineRule="auto"/>
      </w:pPr>
      <w:r>
        <w:separator/>
      </w:r>
    </w:p>
  </w:endnote>
  <w:endnote w:type="continuationSeparator" w:id="0">
    <w:p w14:paraId="4E969FA2" w14:textId="77777777" w:rsidR="005C7AFD" w:rsidRDefault="005C7AF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3CD545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72753B">
              <w:rPr>
                <w:b/>
                <w:bCs/>
                <w:noProof/>
              </w:rPr>
              <w:t>9</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72753B">
              <w:rPr>
                <w:b/>
                <w:bCs/>
                <w:noProof/>
              </w:rPr>
              <w:t>9</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08256" w14:textId="77777777" w:rsidR="005C7AFD" w:rsidRDefault="005C7AFD" w:rsidP="00EE29F6">
      <w:pPr>
        <w:spacing w:after="0" w:line="240" w:lineRule="auto"/>
      </w:pPr>
      <w:r>
        <w:separator/>
      </w:r>
    </w:p>
  </w:footnote>
  <w:footnote w:type="continuationSeparator" w:id="0">
    <w:p w14:paraId="7C2FFCCA" w14:textId="77777777" w:rsidR="005C7AFD" w:rsidRDefault="005C7AF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4595F4F2" w14:textId="77777777" w:rsidTr="00543DF4">
      <w:trPr>
        <w:trHeight w:val="1843"/>
      </w:trPr>
      <w:tc>
        <w:tcPr>
          <w:tcW w:w="2830" w:type="dxa"/>
          <w:vAlign w:val="bottom"/>
        </w:tcPr>
        <w:p w14:paraId="578FE10C"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5B961DA" w14:textId="77777777" w:rsidR="0077694E" w:rsidRDefault="0077694E" w:rsidP="0077694E">
          <w:pPr>
            <w:pStyle w:val="Encabezado"/>
            <w:tabs>
              <w:tab w:val="clear" w:pos="4252"/>
              <w:tab w:val="center" w:pos="2614"/>
            </w:tabs>
          </w:pPr>
        </w:p>
      </w:tc>
      <w:tc>
        <w:tcPr>
          <w:tcW w:w="6237" w:type="dxa"/>
          <w:vAlign w:val="center"/>
        </w:tcPr>
        <w:p w14:paraId="33B9A4E3" w14:textId="77777777" w:rsidR="001106EA" w:rsidRPr="00B9745A" w:rsidRDefault="001106EA" w:rsidP="007E6EFC">
          <w:pPr>
            <w:pStyle w:val="Encabezado"/>
            <w:ind w:left="-103" w:right="-250"/>
            <w:jc w:val="both"/>
            <w:rPr>
              <w:rFonts w:ascii="Palatino Linotype" w:hAnsi="Palatino Linotype" w:cs="Tahoma"/>
              <w:b/>
            </w:rPr>
          </w:pPr>
          <w:r w:rsidRPr="00B9745A">
            <w:rPr>
              <w:rFonts w:ascii="Palatino Linotype" w:hAnsi="Palatino Linotype" w:cs="Tahoma"/>
              <w:b/>
            </w:rPr>
            <w:t>Voto Particular</w:t>
          </w:r>
        </w:p>
        <w:p w14:paraId="73F76005" w14:textId="1F72EF15" w:rsidR="0077694E" w:rsidRPr="00B9745A"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 xml:space="preserve">Recurso de Revisión: </w:t>
          </w:r>
          <w:r w:rsidR="00A568F8">
            <w:rPr>
              <w:rFonts w:ascii="Palatino Linotype" w:hAnsi="Palatino Linotype" w:cs="Tahoma"/>
              <w:b/>
            </w:rPr>
            <w:t xml:space="preserve"> </w:t>
          </w:r>
          <w:r w:rsidR="00A568F8" w:rsidRPr="00B9745A">
            <w:rPr>
              <w:rFonts w:ascii="Palatino Linotype" w:hAnsi="Palatino Linotype" w:cs="Tahoma"/>
              <w:b/>
            </w:rPr>
            <w:t>0</w:t>
          </w:r>
          <w:r w:rsidR="007E6EFC">
            <w:rPr>
              <w:rFonts w:ascii="Palatino Linotype" w:hAnsi="Palatino Linotype" w:cs="Tahoma"/>
              <w:b/>
            </w:rPr>
            <w:t>4190</w:t>
          </w:r>
          <w:r w:rsidR="00A568F8">
            <w:rPr>
              <w:rFonts w:ascii="Palatino Linotype" w:hAnsi="Palatino Linotype" w:cs="Tahoma"/>
              <w:b/>
            </w:rPr>
            <w:t>/</w:t>
          </w:r>
          <w:r w:rsidR="00A568F8" w:rsidRPr="00B9745A">
            <w:rPr>
              <w:rFonts w:ascii="Palatino Linotype" w:hAnsi="Palatino Linotype" w:cs="Tahoma"/>
              <w:b/>
            </w:rPr>
            <w:t>INFOEM/IP/RR/2018</w:t>
          </w:r>
        </w:p>
        <w:p w14:paraId="742B8B8F" w14:textId="704E57EC" w:rsidR="006F754E" w:rsidRPr="001106EA" w:rsidRDefault="006F754E" w:rsidP="00A568F8">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7E6EFC" w:rsidRPr="007E6EFC">
            <w:rPr>
              <w:rFonts w:ascii="Palatino Linotype" w:hAnsi="Palatino Linotype"/>
              <w:b/>
            </w:rPr>
            <w:t>Zulema Martínez Sánchez</w:t>
          </w:r>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E080BB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
  </w:num>
  <w:num w:numId="5">
    <w:abstractNumId w:val="10"/>
  </w:num>
  <w:num w:numId="6">
    <w:abstractNumId w:val="5"/>
  </w:num>
  <w:num w:numId="7">
    <w:abstractNumId w:val="8"/>
  </w:num>
  <w:num w:numId="8">
    <w:abstractNumId w:val="15"/>
  </w:num>
  <w:num w:numId="9">
    <w:abstractNumId w:val="11"/>
  </w:num>
  <w:num w:numId="10">
    <w:abstractNumId w:val="12"/>
  </w:num>
  <w:num w:numId="11">
    <w:abstractNumId w:val="13"/>
  </w:num>
  <w:num w:numId="12">
    <w:abstractNumId w:val="2"/>
  </w:num>
  <w:num w:numId="13">
    <w:abstractNumId w:val="7"/>
  </w:num>
  <w:num w:numId="14">
    <w:abstractNumId w:val="16"/>
  </w:num>
  <w:num w:numId="15">
    <w:abstractNumId w:val="14"/>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614E"/>
    <w:rsid w:val="0002627D"/>
    <w:rsid w:val="00026846"/>
    <w:rsid w:val="0002759D"/>
    <w:rsid w:val="000301C6"/>
    <w:rsid w:val="00031240"/>
    <w:rsid w:val="00041B19"/>
    <w:rsid w:val="00042A63"/>
    <w:rsid w:val="0005256C"/>
    <w:rsid w:val="00060F74"/>
    <w:rsid w:val="0006561A"/>
    <w:rsid w:val="000823D9"/>
    <w:rsid w:val="00082543"/>
    <w:rsid w:val="00087AC8"/>
    <w:rsid w:val="00097988"/>
    <w:rsid w:val="000A65BC"/>
    <w:rsid w:val="000B235B"/>
    <w:rsid w:val="000B7F6F"/>
    <w:rsid w:val="000C10B7"/>
    <w:rsid w:val="000D186F"/>
    <w:rsid w:val="0010688C"/>
    <w:rsid w:val="001106EA"/>
    <w:rsid w:val="00110BC3"/>
    <w:rsid w:val="001159DC"/>
    <w:rsid w:val="00116C1F"/>
    <w:rsid w:val="00116E1A"/>
    <w:rsid w:val="001247C3"/>
    <w:rsid w:val="00136AD8"/>
    <w:rsid w:val="0014038B"/>
    <w:rsid w:val="00140A57"/>
    <w:rsid w:val="00142C92"/>
    <w:rsid w:val="0014736A"/>
    <w:rsid w:val="00162325"/>
    <w:rsid w:val="00164625"/>
    <w:rsid w:val="00164BFE"/>
    <w:rsid w:val="0018472D"/>
    <w:rsid w:val="00192A6D"/>
    <w:rsid w:val="00193AA8"/>
    <w:rsid w:val="00197A72"/>
    <w:rsid w:val="001A145C"/>
    <w:rsid w:val="001A6BD9"/>
    <w:rsid w:val="001C1C64"/>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8528E"/>
    <w:rsid w:val="00295BA5"/>
    <w:rsid w:val="002A138B"/>
    <w:rsid w:val="002A16CE"/>
    <w:rsid w:val="002A1727"/>
    <w:rsid w:val="002A2EE7"/>
    <w:rsid w:val="002C2405"/>
    <w:rsid w:val="002E1D18"/>
    <w:rsid w:val="002E5A1A"/>
    <w:rsid w:val="002F4E95"/>
    <w:rsid w:val="00310C58"/>
    <w:rsid w:val="00322675"/>
    <w:rsid w:val="00333B7A"/>
    <w:rsid w:val="00335670"/>
    <w:rsid w:val="003512C9"/>
    <w:rsid w:val="0036006F"/>
    <w:rsid w:val="003A6218"/>
    <w:rsid w:val="003B1F42"/>
    <w:rsid w:val="003B6547"/>
    <w:rsid w:val="003B7A5E"/>
    <w:rsid w:val="003C0474"/>
    <w:rsid w:val="003C15F3"/>
    <w:rsid w:val="003D5ADA"/>
    <w:rsid w:val="003F2426"/>
    <w:rsid w:val="003F48C2"/>
    <w:rsid w:val="0040139C"/>
    <w:rsid w:val="00412CB2"/>
    <w:rsid w:val="004211BB"/>
    <w:rsid w:val="00433746"/>
    <w:rsid w:val="00434C88"/>
    <w:rsid w:val="00435E69"/>
    <w:rsid w:val="0043730D"/>
    <w:rsid w:val="00444DD6"/>
    <w:rsid w:val="00445BDF"/>
    <w:rsid w:val="00447F6F"/>
    <w:rsid w:val="0045183E"/>
    <w:rsid w:val="0047538D"/>
    <w:rsid w:val="00490F50"/>
    <w:rsid w:val="004970E4"/>
    <w:rsid w:val="004A4555"/>
    <w:rsid w:val="004A555E"/>
    <w:rsid w:val="004B08C4"/>
    <w:rsid w:val="004B532B"/>
    <w:rsid w:val="004B541F"/>
    <w:rsid w:val="004C4912"/>
    <w:rsid w:val="004C6E57"/>
    <w:rsid w:val="004D2157"/>
    <w:rsid w:val="004E7007"/>
    <w:rsid w:val="00500949"/>
    <w:rsid w:val="00524DA5"/>
    <w:rsid w:val="00526DBD"/>
    <w:rsid w:val="00543DF4"/>
    <w:rsid w:val="00544812"/>
    <w:rsid w:val="00553ADE"/>
    <w:rsid w:val="00560A41"/>
    <w:rsid w:val="0056120D"/>
    <w:rsid w:val="0056593F"/>
    <w:rsid w:val="00576423"/>
    <w:rsid w:val="00582CCB"/>
    <w:rsid w:val="0058420A"/>
    <w:rsid w:val="00584D73"/>
    <w:rsid w:val="0059329D"/>
    <w:rsid w:val="005A2510"/>
    <w:rsid w:val="005B1BC6"/>
    <w:rsid w:val="005B6967"/>
    <w:rsid w:val="005C094E"/>
    <w:rsid w:val="005C73EE"/>
    <w:rsid w:val="005C7AFD"/>
    <w:rsid w:val="005D11C8"/>
    <w:rsid w:val="005D26CE"/>
    <w:rsid w:val="005E2798"/>
    <w:rsid w:val="005F6261"/>
    <w:rsid w:val="00600164"/>
    <w:rsid w:val="00605683"/>
    <w:rsid w:val="006248F2"/>
    <w:rsid w:val="00624DE5"/>
    <w:rsid w:val="00645087"/>
    <w:rsid w:val="00654ACD"/>
    <w:rsid w:val="00657396"/>
    <w:rsid w:val="00681338"/>
    <w:rsid w:val="00682003"/>
    <w:rsid w:val="00684B16"/>
    <w:rsid w:val="006C76CB"/>
    <w:rsid w:val="006E1E37"/>
    <w:rsid w:val="006E7483"/>
    <w:rsid w:val="006F5316"/>
    <w:rsid w:val="006F754E"/>
    <w:rsid w:val="00724F08"/>
    <w:rsid w:val="0072753B"/>
    <w:rsid w:val="00730CD7"/>
    <w:rsid w:val="007378E2"/>
    <w:rsid w:val="00742A15"/>
    <w:rsid w:val="007468D5"/>
    <w:rsid w:val="00767DA9"/>
    <w:rsid w:val="0077694E"/>
    <w:rsid w:val="00793961"/>
    <w:rsid w:val="00796A29"/>
    <w:rsid w:val="007A2D13"/>
    <w:rsid w:val="007B0FBC"/>
    <w:rsid w:val="007D3257"/>
    <w:rsid w:val="007D68AF"/>
    <w:rsid w:val="007E6EFC"/>
    <w:rsid w:val="007F1C1D"/>
    <w:rsid w:val="007F7D80"/>
    <w:rsid w:val="0083166F"/>
    <w:rsid w:val="00836BC2"/>
    <w:rsid w:val="00852676"/>
    <w:rsid w:val="00856E29"/>
    <w:rsid w:val="00861757"/>
    <w:rsid w:val="00882ADE"/>
    <w:rsid w:val="00891412"/>
    <w:rsid w:val="008A0447"/>
    <w:rsid w:val="008A1DE1"/>
    <w:rsid w:val="008A3DA9"/>
    <w:rsid w:val="008B08C9"/>
    <w:rsid w:val="008E3C3E"/>
    <w:rsid w:val="008E54E2"/>
    <w:rsid w:val="008F3B5A"/>
    <w:rsid w:val="009039FE"/>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41F7"/>
    <w:rsid w:val="009E704F"/>
    <w:rsid w:val="009F6E4A"/>
    <w:rsid w:val="00A364BA"/>
    <w:rsid w:val="00A5061A"/>
    <w:rsid w:val="00A5658F"/>
    <w:rsid w:val="00A568F8"/>
    <w:rsid w:val="00A67498"/>
    <w:rsid w:val="00A742D1"/>
    <w:rsid w:val="00A74475"/>
    <w:rsid w:val="00A87924"/>
    <w:rsid w:val="00A96933"/>
    <w:rsid w:val="00AA090B"/>
    <w:rsid w:val="00AB3E26"/>
    <w:rsid w:val="00AC333A"/>
    <w:rsid w:val="00AD25D5"/>
    <w:rsid w:val="00AF3B6B"/>
    <w:rsid w:val="00AF41EA"/>
    <w:rsid w:val="00B068A1"/>
    <w:rsid w:val="00B14567"/>
    <w:rsid w:val="00B263C5"/>
    <w:rsid w:val="00B63055"/>
    <w:rsid w:val="00B67355"/>
    <w:rsid w:val="00B7393F"/>
    <w:rsid w:val="00B761B1"/>
    <w:rsid w:val="00B813B2"/>
    <w:rsid w:val="00B9745A"/>
    <w:rsid w:val="00BB6EE3"/>
    <w:rsid w:val="00BC4882"/>
    <w:rsid w:val="00BC55D2"/>
    <w:rsid w:val="00BD06FC"/>
    <w:rsid w:val="00BD4705"/>
    <w:rsid w:val="00BD5DBE"/>
    <w:rsid w:val="00BF1384"/>
    <w:rsid w:val="00C0131C"/>
    <w:rsid w:val="00C0425F"/>
    <w:rsid w:val="00C056BD"/>
    <w:rsid w:val="00C30FD6"/>
    <w:rsid w:val="00C31FEE"/>
    <w:rsid w:val="00C55FFC"/>
    <w:rsid w:val="00C75CE0"/>
    <w:rsid w:val="00CA7627"/>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C4A9C"/>
    <w:rsid w:val="00DF6CA0"/>
    <w:rsid w:val="00E145E1"/>
    <w:rsid w:val="00E26123"/>
    <w:rsid w:val="00E26DFC"/>
    <w:rsid w:val="00E34559"/>
    <w:rsid w:val="00E345D1"/>
    <w:rsid w:val="00E41481"/>
    <w:rsid w:val="00E416F8"/>
    <w:rsid w:val="00E45036"/>
    <w:rsid w:val="00E473C5"/>
    <w:rsid w:val="00E656C1"/>
    <w:rsid w:val="00E7538D"/>
    <w:rsid w:val="00E82F77"/>
    <w:rsid w:val="00E83683"/>
    <w:rsid w:val="00E8492D"/>
    <w:rsid w:val="00EA7E26"/>
    <w:rsid w:val="00EB204F"/>
    <w:rsid w:val="00EB7128"/>
    <w:rsid w:val="00EC608F"/>
    <w:rsid w:val="00EC6DDF"/>
    <w:rsid w:val="00EE29F6"/>
    <w:rsid w:val="00EF482C"/>
    <w:rsid w:val="00F011F6"/>
    <w:rsid w:val="00F14384"/>
    <w:rsid w:val="00F3298A"/>
    <w:rsid w:val="00F32B83"/>
    <w:rsid w:val="00F4155E"/>
    <w:rsid w:val="00F43ECC"/>
    <w:rsid w:val="00F60843"/>
    <w:rsid w:val="00F76D0F"/>
    <w:rsid w:val="00FA177C"/>
    <w:rsid w:val="00FB3044"/>
    <w:rsid w:val="00FB59D6"/>
    <w:rsid w:val="00FB5C13"/>
    <w:rsid w:val="00FC1D9D"/>
    <w:rsid w:val="00FC1F32"/>
    <w:rsid w:val="00FC68E1"/>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1">
    <w:name w:val="heading 1"/>
    <w:basedOn w:val="Normal"/>
    <w:next w:val="Normal"/>
    <w:link w:val="Ttulo1Car"/>
    <w:uiPriority w:val="9"/>
    <w:qFormat/>
    <w:rsid w:val="00584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1Car">
    <w:name w:val="Título 1 Car"/>
    <w:basedOn w:val="Fuentedeprrafopredeter"/>
    <w:link w:val="Ttulo1"/>
    <w:uiPriority w:val="9"/>
    <w:rsid w:val="0058420A"/>
    <w:rPr>
      <w:rFonts w:asciiTheme="majorHAnsi" w:eastAsiaTheme="majorEastAsia" w:hAnsiTheme="majorHAnsi" w:cstheme="majorBidi"/>
      <w:color w:val="2E74B5" w:themeColor="accent1" w:themeShade="BF"/>
      <w:sz w:val="32"/>
      <w:szCs w:val="32"/>
    </w:rPr>
  </w:style>
  <w:style w:type="paragraph" w:styleId="Listaconvietas2">
    <w:name w:val="List Bullet 2"/>
    <w:basedOn w:val="Normal"/>
    <w:uiPriority w:val="99"/>
    <w:unhideWhenUsed/>
    <w:rsid w:val="0058420A"/>
    <w:pPr>
      <w:numPr>
        <w:numId w:val="17"/>
      </w:numPr>
      <w:contextualSpacing/>
    </w:pPr>
  </w:style>
  <w:style w:type="paragraph" w:styleId="Textoindependiente">
    <w:name w:val="Body Text"/>
    <w:basedOn w:val="Normal"/>
    <w:link w:val="TextoindependienteCar"/>
    <w:uiPriority w:val="99"/>
    <w:unhideWhenUsed/>
    <w:rsid w:val="0058420A"/>
    <w:pPr>
      <w:spacing w:after="120"/>
    </w:pPr>
  </w:style>
  <w:style w:type="character" w:customStyle="1" w:styleId="TextoindependienteCar">
    <w:name w:val="Texto independiente Car"/>
    <w:basedOn w:val="Fuentedeprrafopredeter"/>
    <w:link w:val="Textoindependiente"/>
    <w:uiPriority w:val="99"/>
    <w:rsid w:val="0058420A"/>
  </w:style>
  <w:style w:type="paragraph" w:styleId="Sangradetextonormal">
    <w:name w:val="Body Text Indent"/>
    <w:basedOn w:val="Normal"/>
    <w:link w:val="SangradetextonormalCar"/>
    <w:uiPriority w:val="99"/>
    <w:semiHidden/>
    <w:unhideWhenUsed/>
    <w:rsid w:val="0058420A"/>
    <w:pPr>
      <w:spacing w:after="120"/>
      <w:ind w:left="283"/>
    </w:pPr>
  </w:style>
  <w:style w:type="character" w:customStyle="1" w:styleId="SangradetextonormalCar">
    <w:name w:val="Sangría de texto normal Car"/>
    <w:basedOn w:val="Fuentedeprrafopredeter"/>
    <w:link w:val="Sangradetextonormal"/>
    <w:uiPriority w:val="99"/>
    <w:semiHidden/>
    <w:rsid w:val="0058420A"/>
  </w:style>
  <w:style w:type="paragraph" w:styleId="Textoindependienteprimerasangra2">
    <w:name w:val="Body Text First Indent 2"/>
    <w:basedOn w:val="Sangradetextonormal"/>
    <w:link w:val="Textoindependienteprimerasangra2Car"/>
    <w:uiPriority w:val="99"/>
    <w:unhideWhenUsed/>
    <w:rsid w:val="0058420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8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15FB-C84C-4400-81D4-4165514E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2227</Words>
  <Characters>12251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2019-01-28T18:17:00Z</cp:lastPrinted>
  <dcterms:created xsi:type="dcterms:W3CDTF">2019-01-28T17:07:00Z</dcterms:created>
  <dcterms:modified xsi:type="dcterms:W3CDTF">2019-01-28T18:19:00Z</dcterms:modified>
</cp:coreProperties>
</file>